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B07F7" w14:textId="77777777" w:rsidR="00B5586D" w:rsidRDefault="00B5586D" w:rsidP="00816D7E">
      <w:pPr>
        <w:jc w:val="center"/>
        <w:rPr>
          <w:rFonts w:ascii="Cambria" w:hAnsi="Cambria"/>
          <w:b/>
          <w:sz w:val="24"/>
          <w:szCs w:val="24"/>
          <w:u w:val="single"/>
        </w:rPr>
      </w:pPr>
    </w:p>
    <w:p w14:paraId="5B7DAF8D" w14:textId="21A0E196" w:rsidR="008B1FC3" w:rsidRPr="00C332A6" w:rsidRDefault="00816D7E" w:rsidP="00816D7E">
      <w:pPr>
        <w:jc w:val="center"/>
        <w:rPr>
          <w:rFonts w:ascii="Cambria" w:hAnsi="Cambria"/>
          <w:b/>
          <w:sz w:val="24"/>
          <w:szCs w:val="24"/>
          <w:u w:val="single"/>
        </w:rPr>
      </w:pPr>
      <w:r w:rsidRPr="00C332A6">
        <w:rPr>
          <w:rFonts w:ascii="Cambria" w:hAnsi="Cambria"/>
          <w:b/>
          <w:sz w:val="24"/>
          <w:szCs w:val="24"/>
          <w:u w:val="single"/>
        </w:rPr>
        <w:t>CONFLICT OF INTEREST POLICY</w:t>
      </w:r>
    </w:p>
    <w:p w14:paraId="7F81AAAA" w14:textId="77777777" w:rsidR="00FC1F35" w:rsidRDefault="00FC1F35" w:rsidP="008B1FC3">
      <w:pPr>
        <w:jc w:val="both"/>
        <w:rPr>
          <w:rFonts w:ascii="Cambria" w:hAnsi="Cambria"/>
          <w:b/>
        </w:rPr>
      </w:pPr>
    </w:p>
    <w:p w14:paraId="13E0838F" w14:textId="77777777" w:rsidR="00FC1F35" w:rsidRDefault="00FC1F35" w:rsidP="00FC1F35">
      <w:pPr>
        <w:jc w:val="both"/>
        <w:rPr>
          <w:rFonts w:ascii="Cambria" w:hAnsi="Cambria"/>
          <w:b/>
        </w:rPr>
      </w:pPr>
      <w:r w:rsidRPr="00C332A6">
        <w:rPr>
          <w:rFonts w:ascii="Cambria" w:hAnsi="Cambria"/>
          <w:b/>
        </w:rPr>
        <w:t>Legal Framework</w:t>
      </w:r>
    </w:p>
    <w:p w14:paraId="49A68246" w14:textId="475FA4D7" w:rsidR="00FC1F35" w:rsidRDefault="00FC1F35" w:rsidP="008B1FC3">
      <w:pPr>
        <w:jc w:val="both"/>
        <w:rPr>
          <w:rFonts w:ascii="Cambria" w:hAnsi="Cambria"/>
          <w:b/>
        </w:rPr>
      </w:pPr>
      <w:r w:rsidRPr="00F26243">
        <w:rPr>
          <w:rFonts w:ascii="Cambria" w:hAnsi="Cambria"/>
          <w:b/>
        </w:rPr>
        <w:t xml:space="preserve">Rally Trade is 'Powered by ClickTrades’. Rally Trade is an official partner of ClickTrades. </w:t>
      </w:r>
      <w:hyperlink r:id="rId9" w:history="1">
        <w:r w:rsidRPr="00C332A6">
          <w:rPr>
            <w:rStyle w:val="Hyperlink"/>
            <w:rFonts w:ascii="Cambria" w:hAnsi="Cambria"/>
          </w:rPr>
          <w:t>www.clicktrades.com</w:t>
        </w:r>
      </w:hyperlink>
      <w:r w:rsidRPr="00C332A6">
        <w:rPr>
          <w:rFonts w:ascii="Cambria" w:hAnsi="Cambria"/>
        </w:rPr>
        <w:t xml:space="preserve"> is owned by KW Investments Ltd (the “Company”) an investment firm authorized by the Financial Services Authority (“FSA”) of Seychelles with license number SD020/17. In accordance with the Securities Act 2007, the Company must establish, implement and maintain a Conflict of Interest Policy and make sure it provides all the necessary information on how conflicts of interest are managed internally and externally, meaning conflicts that can involve managers, employees, tied agents and other relevant persons, including third-parties linked to t</w:t>
      </w:r>
      <w:r>
        <w:rPr>
          <w:rFonts w:ascii="Cambria" w:hAnsi="Cambria"/>
        </w:rPr>
        <w:t>he Company</w:t>
      </w:r>
      <w:r w:rsidRPr="00C332A6">
        <w:rPr>
          <w:rFonts w:ascii="Cambria" w:hAnsi="Cambria"/>
        </w:rPr>
        <w:t xml:space="preserve"> by control directly or indirectly. The Conflict of Interest Policy also regards the conflicts between the Company</w:t>
      </w:r>
      <w:r>
        <w:rPr>
          <w:rFonts w:ascii="Cambria" w:hAnsi="Cambria"/>
        </w:rPr>
        <w:t xml:space="preserve"> and its clients or between </w:t>
      </w:r>
      <w:r w:rsidRPr="00C332A6">
        <w:rPr>
          <w:rFonts w:ascii="Cambria" w:hAnsi="Cambria"/>
        </w:rPr>
        <w:t xml:space="preserve">a client and another that may arise when providing investment and ancillary services. </w:t>
      </w:r>
    </w:p>
    <w:p w14:paraId="7FC4AA4E" w14:textId="1BE56027" w:rsidR="00480950" w:rsidRPr="00C332A6" w:rsidRDefault="00480950" w:rsidP="008B1FC3">
      <w:pPr>
        <w:jc w:val="both"/>
        <w:rPr>
          <w:rFonts w:ascii="Cambria" w:hAnsi="Cambria"/>
          <w:b/>
        </w:rPr>
      </w:pPr>
      <w:r w:rsidRPr="00C332A6">
        <w:rPr>
          <w:rFonts w:ascii="Cambria" w:hAnsi="Cambria"/>
          <w:b/>
        </w:rPr>
        <w:t>Purpose</w:t>
      </w:r>
    </w:p>
    <w:p w14:paraId="5BDDBD7F" w14:textId="5E86EA1E" w:rsidR="00444D79" w:rsidRPr="00C332A6" w:rsidRDefault="00480950" w:rsidP="008B1FC3">
      <w:pPr>
        <w:jc w:val="both"/>
        <w:rPr>
          <w:rFonts w:ascii="Cambria" w:hAnsi="Cambria"/>
        </w:rPr>
      </w:pPr>
      <w:r w:rsidRPr="00C332A6">
        <w:rPr>
          <w:rFonts w:ascii="Cambria" w:hAnsi="Cambria"/>
        </w:rPr>
        <w:t xml:space="preserve">The purpose of this Policy is to specify </w:t>
      </w:r>
      <w:r w:rsidR="00E572D4" w:rsidRPr="00C332A6">
        <w:rPr>
          <w:rFonts w:ascii="Cambria" w:hAnsi="Cambria"/>
        </w:rPr>
        <w:t xml:space="preserve">in writing </w:t>
      </w:r>
      <w:r w:rsidRPr="00C332A6">
        <w:rPr>
          <w:rFonts w:ascii="Cambria" w:hAnsi="Cambria"/>
        </w:rPr>
        <w:t xml:space="preserve">the procedures established by </w:t>
      </w:r>
      <w:r w:rsidR="00E968D0" w:rsidRPr="00C332A6">
        <w:rPr>
          <w:rFonts w:ascii="Cambria" w:hAnsi="Cambria"/>
        </w:rPr>
        <w:t>KW Investments Ltd</w:t>
      </w:r>
      <w:r w:rsidRPr="00C332A6">
        <w:rPr>
          <w:rFonts w:ascii="Cambria" w:hAnsi="Cambria"/>
        </w:rPr>
        <w:t xml:space="preserve"> (the “Company”),</w:t>
      </w:r>
      <w:r w:rsidR="00E572D4" w:rsidRPr="00C332A6">
        <w:rPr>
          <w:rFonts w:ascii="Cambria" w:hAnsi="Cambria"/>
        </w:rPr>
        <w:t xml:space="preserve"> in accordance with the size, organization, nature and complexity of the Company’s business</w:t>
      </w:r>
      <w:r w:rsidRPr="00C332A6">
        <w:rPr>
          <w:rFonts w:ascii="Cambria" w:hAnsi="Cambria"/>
        </w:rPr>
        <w:t xml:space="preserve"> for the identification and responsible management and control and, where necessary, disclose the conflicts of interests arising in relation to its business and to reduce the risk of client disadvantage and/or legal liability, regulatory censure or damage to the Company’s commercial interests and reputation. </w:t>
      </w:r>
    </w:p>
    <w:p w14:paraId="1D5ADC76" w14:textId="398B78D6" w:rsidR="00444D79" w:rsidRPr="00C332A6" w:rsidRDefault="00444D79" w:rsidP="008B1FC3">
      <w:pPr>
        <w:jc w:val="both"/>
        <w:rPr>
          <w:rFonts w:ascii="Cambria" w:hAnsi="Cambria"/>
        </w:rPr>
      </w:pPr>
      <w:r w:rsidRPr="00C332A6">
        <w:rPr>
          <w:rFonts w:ascii="Cambria" w:hAnsi="Cambria"/>
        </w:rPr>
        <w:t xml:space="preserve">Another scope of the Conflict of Interest Policy is ensuring that the Company </w:t>
      </w:r>
      <w:r w:rsidR="005E561C" w:rsidRPr="00C332A6">
        <w:rPr>
          <w:rFonts w:ascii="Cambria" w:hAnsi="Cambria"/>
        </w:rPr>
        <w:t>is compliant with the legislative requirements it must abide to and with the internal procedures, whether departmental or general, that are established in its Internal Procedures Manual.</w:t>
      </w:r>
    </w:p>
    <w:p w14:paraId="00184DEB" w14:textId="3F26623E" w:rsidR="008B1FC3" w:rsidRPr="00C332A6" w:rsidRDefault="00D70BC6" w:rsidP="008B1FC3">
      <w:pPr>
        <w:jc w:val="both"/>
        <w:rPr>
          <w:rFonts w:ascii="Cambria" w:hAnsi="Cambria"/>
          <w:b/>
        </w:rPr>
      </w:pPr>
      <w:r w:rsidRPr="00C332A6">
        <w:rPr>
          <w:rFonts w:ascii="Cambria" w:hAnsi="Cambria"/>
          <w:b/>
        </w:rPr>
        <w:t>Policy</w:t>
      </w:r>
    </w:p>
    <w:p w14:paraId="3F71D17D" w14:textId="5D55E2D1" w:rsidR="008B1FC3" w:rsidRPr="00C332A6" w:rsidRDefault="00CC158D" w:rsidP="008B1FC3">
      <w:pPr>
        <w:jc w:val="both"/>
        <w:rPr>
          <w:rFonts w:ascii="Cambria" w:hAnsi="Cambria"/>
        </w:rPr>
      </w:pPr>
      <w:r w:rsidRPr="00C332A6">
        <w:rPr>
          <w:rFonts w:ascii="Cambria" w:hAnsi="Cambria"/>
        </w:rPr>
        <w:t>Adequate</w:t>
      </w:r>
      <w:r w:rsidR="00607779" w:rsidRPr="00C332A6">
        <w:rPr>
          <w:rFonts w:ascii="Cambria" w:hAnsi="Cambria"/>
        </w:rPr>
        <w:t xml:space="preserve"> policies and</w:t>
      </w:r>
      <w:r w:rsidR="008B1FC3" w:rsidRPr="00C332A6">
        <w:rPr>
          <w:rFonts w:ascii="Cambria" w:hAnsi="Cambria"/>
        </w:rPr>
        <w:t xml:space="preserve"> measures have been </w:t>
      </w:r>
      <w:r w:rsidR="00607779" w:rsidRPr="00C332A6">
        <w:rPr>
          <w:rFonts w:ascii="Cambria" w:hAnsi="Cambria"/>
        </w:rPr>
        <w:t>established</w:t>
      </w:r>
      <w:r w:rsidR="008B1FC3" w:rsidRPr="00C332A6">
        <w:rPr>
          <w:rFonts w:ascii="Cambria" w:hAnsi="Cambria"/>
        </w:rPr>
        <w:t xml:space="preserve"> by the Company</w:t>
      </w:r>
      <w:r w:rsidR="00607779" w:rsidRPr="00C332A6">
        <w:rPr>
          <w:rFonts w:ascii="Cambria" w:hAnsi="Cambria"/>
        </w:rPr>
        <w:t xml:space="preserve"> </w:t>
      </w:r>
      <w:r w:rsidR="008B1FC3" w:rsidRPr="00C332A6">
        <w:rPr>
          <w:rFonts w:ascii="Cambria" w:hAnsi="Cambria"/>
        </w:rPr>
        <w:t>to prevent, control and manage the exchange of information between relevant persons engaged in activities involving a conflict of interest</w:t>
      </w:r>
      <w:r w:rsidR="009C1098">
        <w:rPr>
          <w:rFonts w:ascii="Cambria" w:hAnsi="Cambria"/>
        </w:rPr>
        <w:t xml:space="preserve"> risk</w:t>
      </w:r>
      <w:r w:rsidR="008B1FC3" w:rsidRPr="00C332A6">
        <w:rPr>
          <w:rFonts w:ascii="Cambria" w:hAnsi="Cambria"/>
        </w:rPr>
        <w:t xml:space="preserve">. </w:t>
      </w:r>
    </w:p>
    <w:p w14:paraId="0C7E8D32" w14:textId="5644FBF6" w:rsidR="003C32AD" w:rsidRPr="00C332A6" w:rsidRDefault="00F5580E" w:rsidP="008B1FC3">
      <w:pPr>
        <w:jc w:val="both"/>
        <w:rPr>
          <w:rFonts w:ascii="Cambria" w:hAnsi="Cambria"/>
          <w:b/>
        </w:rPr>
      </w:pPr>
      <w:r w:rsidRPr="00C332A6">
        <w:rPr>
          <w:rFonts w:ascii="Cambria" w:hAnsi="Cambria"/>
          <w:b/>
        </w:rPr>
        <w:t xml:space="preserve">How </w:t>
      </w:r>
      <w:r w:rsidR="009C1098">
        <w:rPr>
          <w:rFonts w:ascii="Cambria" w:hAnsi="Cambria"/>
          <w:b/>
        </w:rPr>
        <w:t xml:space="preserve">Do </w:t>
      </w:r>
      <w:r w:rsidRPr="00C332A6">
        <w:rPr>
          <w:rFonts w:ascii="Cambria" w:hAnsi="Cambria"/>
          <w:b/>
        </w:rPr>
        <w:t>We Manage Conflicts of I</w:t>
      </w:r>
      <w:r w:rsidR="003C32AD" w:rsidRPr="00C332A6">
        <w:rPr>
          <w:rFonts w:ascii="Cambria" w:hAnsi="Cambria"/>
          <w:b/>
        </w:rPr>
        <w:t>nterest</w:t>
      </w:r>
    </w:p>
    <w:p w14:paraId="6DFB5DAD" w14:textId="0CD1BD11" w:rsidR="00CC158D" w:rsidRPr="00C332A6" w:rsidRDefault="00F5580E" w:rsidP="00CC158D">
      <w:pPr>
        <w:pStyle w:val="ListParagraph"/>
        <w:numPr>
          <w:ilvl w:val="0"/>
          <w:numId w:val="10"/>
        </w:numPr>
        <w:spacing w:line="360" w:lineRule="auto"/>
        <w:jc w:val="both"/>
        <w:rPr>
          <w:rFonts w:ascii="Cambria" w:hAnsi="Cambria"/>
          <w:b/>
        </w:rPr>
      </w:pPr>
      <w:r w:rsidRPr="00C332A6">
        <w:rPr>
          <w:rFonts w:ascii="Cambria" w:hAnsi="Cambria"/>
          <w:b/>
        </w:rPr>
        <w:t>Description</w:t>
      </w:r>
    </w:p>
    <w:p w14:paraId="305AE036" w14:textId="4C834F67" w:rsidR="001A698C" w:rsidRPr="00C332A6" w:rsidRDefault="00CC158D" w:rsidP="00CC158D">
      <w:pPr>
        <w:jc w:val="both"/>
        <w:rPr>
          <w:rFonts w:ascii="Cambria" w:hAnsi="Cambria"/>
        </w:rPr>
      </w:pPr>
      <w:r w:rsidRPr="00C332A6">
        <w:rPr>
          <w:rFonts w:ascii="Cambria" w:hAnsi="Cambria"/>
        </w:rPr>
        <w:t xml:space="preserve">Conflicts of interests </w:t>
      </w:r>
      <w:r w:rsidR="00F5580E" w:rsidRPr="00C332A6">
        <w:rPr>
          <w:rFonts w:ascii="Cambria" w:hAnsi="Cambria"/>
        </w:rPr>
        <w:t xml:space="preserve">include those situations where the Company or a person is in the </w:t>
      </w:r>
      <w:r w:rsidR="001A698C" w:rsidRPr="00C332A6">
        <w:rPr>
          <w:rFonts w:ascii="Cambria" w:hAnsi="Cambria"/>
        </w:rPr>
        <w:t>position that exploits in some way a professional or official capacity to obtain a benefit, whether corporate or personal.</w:t>
      </w:r>
    </w:p>
    <w:p w14:paraId="648A01F3" w14:textId="4C419615" w:rsidR="001A698C" w:rsidRPr="00C332A6" w:rsidRDefault="001A698C" w:rsidP="00CC158D">
      <w:pPr>
        <w:jc w:val="both"/>
        <w:rPr>
          <w:rFonts w:ascii="Cambria" w:hAnsi="Cambria"/>
          <w:lang w:val="en-GB"/>
        </w:rPr>
      </w:pPr>
      <w:r w:rsidRPr="00C332A6">
        <w:rPr>
          <w:rFonts w:ascii="Cambria" w:hAnsi="Cambria"/>
          <w:lang w:val="en-GB"/>
        </w:rPr>
        <w:lastRenderedPageBreak/>
        <w:t>Conflicts of interest can occur in the following situations:</w:t>
      </w:r>
    </w:p>
    <w:p w14:paraId="0B27845D" w14:textId="5F291856" w:rsidR="001A698C" w:rsidRPr="00C332A6" w:rsidRDefault="001A698C" w:rsidP="001A698C">
      <w:pPr>
        <w:pStyle w:val="ListParagraph"/>
        <w:numPr>
          <w:ilvl w:val="0"/>
          <w:numId w:val="17"/>
        </w:numPr>
        <w:jc w:val="both"/>
        <w:rPr>
          <w:rFonts w:ascii="Cambria" w:hAnsi="Cambria"/>
          <w:lang w:val="en-GB"/>
        </w:rPr>
      </w:pPr>
      <w:r w:rsidRPr="00C332A6">
        <w:rPr>
          <w:rFonts w:ascii="Cambria" w:hAnsi="Cambria"/>
          <w:lang w:val="en-GB"/>
        </w:rPr>
        <w:t>The</w:t>
      </w:r>
      <w:r w:rsidR="00623530" w:rsidRPr="00C332A6">
        <w:rPr>
          <w:rFonts w:ascii="Cambria" w:hAnsi="Cambria"/>
          <w:lang w:val="en-GB"/>
        </w:rPr>
        <w:t xml:space="preserve"> Company, a relevant person, or a </w:t>
      </w:r>
      <w:r w:rsidRPr="00C332A6">
        <w:rPr>
          <w:rFonts w:ascii="Cambria" w:hAnsi="Cambria"/>
          <w:lang w:val="en-GB"/>
        </w:rPr>
        <w:t>person who is linked direct</w:t>
      </w:r>
      <w:r w:rsidR="00623530" w:rsidRPr="00C332A6">
        <w:rPr>
          <w:rFonts w:ascii="Cambria" w:hAnsi="Cambria"/>
          <w:lang w:val="en-GB"/>
        </w:rPr>
        <w:t>ly or indirectly</w:t>
      </w:r>
      <w:r w:rsidR="0094178C" w:rsidRPr="00C332A6">
        <w:rPr>
          <w:rFonts w:ascii="Cambria" w:hAnsi="Cambria"/>
          <w:lang w:val="en-GB"/>
        </w:rPr>
        <w:t xml:space="preserve"> by control</w:t>
      </w:r>
      <w:r w:rsidR="00623530" w:rsidRPr="00C332A6">
        <w:rPr>
          <w:rFonts w:ascii="Cambria" w:hAnsi="Cambria"/>
          <w:lang w:val="en-GB"/>
        </w:rPr>
        <w:t xml:space="preserve"> to the Company</w:t>
      </w:r>
      <w:r w:rsidRPr="00C332A6">
        <w:rPr>
          <w:rFonts w:ascii="Cambria" w:hAnsi="Cambria"/>
          <w:lang w:val="en-GB"/>
        </w:rPr>
        <w:t xml:space="preserve"> may attain financial gains or bypass </w:t>
      </w:r>
      <w:r w:rsidR="00623530" w:rsidRPr="00C332A6">
        <w:rPr>
          <w:rFonts w:ascii="Cambria" w:hAnsi="Cambria"/>
          <w:lang w:val="en-GB"/>
        </w:rPr>
        <w:t>a financial loss with the involvement of the client’s expense.</w:t>
      </w:r>
    </w:p>
    <w:p w14:paraId="4BFA1B12" w14:textId="53E8BA63" w:rsidR="00623530" w:rsidRPr="00C332A6" w:rsidRDefault="00623530" w:rsidP="001A698C">
      <w:pPr>
        <w:pStyle w:val="ListParagraph"/>
        <w:numPr>
          <w:ilvl w:val="0"/>
          <w:numId w:val="17"/>
        </w:numPr>
        <w:jc w:val="both"/>
        <w:rPr>
          <w:rFonts w:ascii="Cambria" w:hAnsi="Cambria"/>
          <w:lang w:val="en-GB"/>
        </w:rPr>
      </w:pPr>
      <w:r w:rsidRPr="00C332A6">
        <w:rPr>
          <w:rFonts w:ascii="Cambria" w:hAnsi="Cambria"/>
          <w:lang w:val="en-GB"/>
        </w:rPr>
        <w:t xml:space="preserve">The Company, a relevant person, or a person who is linked directly or indirectly </w:t>
      </w:r>
      <w:r w:rsidR="0094178C" w:rsidRPr="00C332A6">
        <w:rPr>
          <w:rFonts w:ascii="Cambria" w:hAnsi="Cambria"/>
          <w:lang w:val="en-GB"/>
        </w:rPr>
        <w:t xml:space="preserve">by control </w:t>
      </w:r>
      <w:r w:rsidRPr="00C332A6">
        <w:rPr>
          <w:rFonts w:ascii="Cambria" w:hAnsi="Cambria"/>
          <w:lang w:val="en-GB"/>
        </w:rPr>
        <w:t>to the Company is interested in the outcome of a service which is provided to a client or in the transaction which is performed on the client’s behalf, and that interest is different from the one the client has regarding the outcome.</w:t>
      </w:r>
    </w:p>
    <w:p w14:paraId="6A8D4B67" w14:textId="413E32CB" w:rsidR="00623530" w:rsidRPr="00C332A6" w:rsidRDefault="00623530" w:rsidP="00623530">
      <w:pPr>
        <w:pStyle w:val="ListParagraph"/>
        <w:numPr>
          <w:ilvl w:val="0"/>
          <w:numId w:val="17"/>
        </w:numPr>
        <w:jc w:val="both"/>
        <w:rPr>
          <w:rFonts w:ascii="Cambria" w:hAnsi="Cambria"/>
          <w:lang w:val="en-GB"/>
        </w:rPr>
      </w:pPr>
      <w:r w:rsidRPr="00C332A6">
        <w:rPr>
          <w:rFonts w:ascii="Cambria" w:hAnsi="Cambria"/>
          <w:lang w:val="en-GB"/>
        </w:rPr>
        <w:t>The Company, a relevant person, or a person who is linked directly or indirectly</w:t>
      </w:r>
      <w:r w:rsidR="0094178C" w:rsidRPr="00C332A6">
        <w:rPr>
          <w:rFonts w:ascii="Cambria" w:hAnsi="Cambria"/>
          <w:lang w:val="en-GB"/>
        </w:rPr>
        <w:t xml:space="preserve"> by control</w:t>
      </w:r>
      <w:r w:rsidRPr="00C332A6">
        <w:rPr>
          <w:rFonts w:ascii="Cambria" w:hAnsi="Cambria"/>
          <w:lang w:val="en-GB"/>
        </w:rPr>
        <w:t xml:space="preserve"> to the Company decides to fa</w:t>
      </w:r>
      <w:r w:rsidR="00D5714D" w:rsidRPr="00C332A6">
        <w:rPr>
          <w:rFonts w:ascii="Cambria" w:hAnsi="Cambria"/>
          <w:lang w:val="en-GB"/>
        </w:rPr>
        <w:t xml:space="preserve">vour the interest of a client or a group of clients in favour of another client by expecting financial or other forms of incentives. </w:t>
      </w:r>
    </w:p>
    <w:p w14:paraId="2D8E03A7" w14:textId="6078A3CA" w:rsidR="00D5714D" w:rsidRPr="00C332A6" w:rsidRDefault="0094178C" w:rsidP="00623530">
      <w:pPr>
        <w:pStyle w:val="ListParagraph"/>
        <w:numPr>
          <w:ilvl w:val="0"/>
          <w:numId w:val="17"/>
        </w:numPr>
        <w:jc w:val="both"/>
        <w:rPr>
          <w:rFonts w:ascii="Cambria" w:hAnsi="Cambria"/>
          <w:lang w:val="en-GB"/>
        </w:rPr>
      </w:pPr>
      <w:r w:rsidRPr="00C332A6">
        <w:rPr>
          <w:rFonts w:ascii="Cambria" w:hAnsi="Cambria"/>
          <w:lang w:val="en-GB"/>
        </w:rPr>
        <w:t>The Company, a relevant person, or a person who is linked directly or indirectly by control to the Company</w:t>
      </w:r>
      <w:r w:rsidR="00410CDB" w:rsidRPr="00C332A6">
        <w:rPr>
          <w:rFonts w:ascii="Cambria" w:hAnsi="Cambria"/>
          <w:lang w:val="en-GB"/>
        </w:rPr>
        <w:t xml:space="preserve"> does the same business as the client.</w:t>
      </w:r>
    </w:p>
    <w:p w14:paraId="65FF9376" w14:textId="2353BBF8" w:rsidR="00410CDB" w:rsidRPr="00C332A6" w:rsidRDefault="00410CDB" w:rsidP="00623530">
      <w:pPr>
        <w:pStyle w:val="ListParagraph"/>
        <w:numPr>
          <w:ilvl w:val="0"/>
          <w:numId w:val="17"/>
        </w:numPr>
        <w:jc w:val="both"/>
        <w:rPr>
          <w:rFonts w:ascii="Cambria" w:hAnsi="Cambria"/>
          <w:lang w:val="en-GB"/>
        </w:rPr>
      </w:pPr>
      <w:r w:rsidRPr="00C332A6">
        <w:rPr>
          <w:rFonts w:ascii="Cambria" w:hAnsi="Cambria"/>
          <w:lang w:val="en-GB"/>
        </w:rPr>
        <w:t xml:space="preserve">The Company, a relevant person, or a person who is linked directly or indirectly by control to the Company </w:t>
      </w:r>
      <w:r w:rsidR="00665E31" w:rsidRPr="00C332A6">
        <w:rPr>
          <w:rFonts w:ascii="Cambria" w:hAnsi="Cambria"/>
          <w:lang w:val="en-GB"/>
        </w:rPr>
        <w:t>gets or will get from a third-party stimulus for a service provided to a client. The inducement can be in the form of: money, goods, services that do not include the standard commissions of fees for that service.</w:t>
      </w:r>
    </w:p>
    <w:p w14:paraId="5E5ED961" w14:textId="52656FCF" w:rsidR="00665E31" w:rsidRPr="00C332A6" w:rsidRDefault="00665E31" w:rsidP="00665E31">
      <w:pPr>
        <w:jc w:val="both"/>
        <w:rPr>
          <w:rFonts w:ascii="Cambria" w:hAnsi="Cambria"/>
          <w:lang w:val="en-GB"/>
        </w:rPr>
      </w:pPr>
      <w:r w:rsidRPr="00C332A6">
        <w:rPr>
          <w:rFonts w:ascii="Cambria" w:hAnsi="Cambria"/>
          <w:lang w:val="en-GB"/>
        </w:rPr>
        <w:t>A relevant person in relation to the Company can be:</w:t>
      </w:r>
    </w:p>
    <w:p w14:paraId="187F2DB2" w14:textId="6933EC17" w:rsidR="00665E31" w:rsidRPr="00C332A6" w:rsidRDefault="00665E31" w:rsidP="00665E31">
      <w:pPr>
        <w:pStyle w:val="ListParagraph"/>
        <w:numPr>
          <w:ilvl w:val="0"/>
          <w:numId w:val="18"/>
        </w:numPr>
        <w:jc w:val="both"/>
        <w:rPr>
          <w:rFonts w:ascii="Cambria" w:hAnsi="Cambria"/>
          <w:lang w:val="en-GB"/>
        </w:rPr>
      </w:pPr>
      <w:r w:rsidRPr="00C332A6">
        <w:rPr>
          <w:rFonts w:ascii="Cambria" w:hAnsi="Cambria"/>
          <w:lang w:val="en-GB"/>
        </w:rPr>
        <w:t>Members of the board of directors, partners or persons in an equivalent position, as well as managers or tied agents of the Company;</w:t>
      </w:r>
    </w:p>
    <w:p w14:paraId="26B6EBE1" w14:textId="5F0C5CB1" w:rsidR="00665E31" w:rsidRPr="00C332A6" w:rsidRDefault="00665E31" w:rsidP="00665E31">
      <w:pPr>
        <w:pStyle w:val="ListParagraph"/>
        <w:numPr>
          <w:ilvl w:val="0"/>
          <w:numId w:val="18"/>
        </w:numPr>
        <w:jc w:val="both"/>
        <w:rPr>
          <w:rFonts w:ascii="Cambria" w:hAnsi="Cambria"/>
          <w:lang w:val="en-GB"/>
        </w:rPr>
      </w:pPr>
      <w:r w:rsidRPr="00C332A6">
        <w:rPr>
          <w:rFonts w:ascii="Cambria" w:hAnsi="Cambria"/>
          <w:lang w:val="en-GB"/>
        </w:rPr>
        <w:t>Members of the board of directors, partners or persons in an equivalent position, as well as managers of tied agents of the Company;</w:t>
      </w:r>
    </w:p>
    <w:p w14:paraId="002D47FF" w14:textId="0F3AAC81" w:rsidR="00665E31" w:rsidRPr="00C332A6" w:rsidRDefault="007D0192" w:rsidP="00665E31">
      <w:pPr>
        <w:pStyle w:val="ListParagraph"/>
        <w:numPr>
          <w:ilvl w:val="0"/>
          <w:numId w:val="18"/>
        </w:numPr>
        <w:jc w:val="both"/>
        <w:rPr>
          <w:rFonts w:ascii="Cambria" w:hAnsi="Cambria"/>
          <w:lang w:val="en-GB"/>
        </w:rPr>
      </w:pPr>
      <w:r w:rsidRPr="00C332A6">
        <w:rPr>
          <w:rFonts w:ascii="Cambria" w:hAnsi="Cambria"/>
          <w:lang w:val="en-GB"/>
        </w:rPr>
        <w:t>Company employees or tied agents;</w:t>
      </w:r>
    </w:p>
    <w:p w14:paraId="58F878E0" w14:textId="0306A44B" w:rsidR="007D0192" w:rsidRPr="00C332A6" w:rsidRDefault="007D0192" w:rsidP="00665E31">
      <w:pPr>
        <w:pStyle w:val="ListParagraph"/>
        <w:numPr>
          <w:ilvl w:val="0"/>
          <w:numId w:val="18"/>
        </w:numPr>
        <w:jc w:val="both"/>
        <w:rPr>
          <w:rFonts w:ascii="Cambria" w:hAnsi="Cambria"/>
          <w:lang w:val="en-GB"/>
        </w:rPr>
      </w:pPr>
      <w:r w:rsidRPr="00C332A6">
        <w:rPr>
          <w:rFonts w:ascii="Cambria" w:hAnsi="Cambria"/>
          <w:lang w:val="en-GB"/>
        </w:rPr>
        <w:t xml:space="preserve">Natural persons </w:t>
      </w:r>
      <w:r w:rsidR="00A50A20" w:rsidRPr="00C332A6">
        <w:rPr>
          <w:rFonts w:ascii="Cambria" w:hAnsi="Cambria"/>
          <w:lang w:val="en-GB"/>
        </w:rPr>
        <w:t>who place services at the disposal and under the Company’s control;</w:t>
      </w:r>
    </w:p>
    <w:p w14:paraId="30D97A9C" w14:textId="37902823" w:rsidR="00A50A20" w:rsidRPr="00C332A6" w:rsidRDefault="00A50A20" w:rsidP="00665E31">
      <w:pPr>
        <w:pStyle w:val="ListParagraph"/>
        <w:numPr>
          <w:ilvl w:val="0"/>
          <w:numId w:val="18"/>
        </w:numPr>
        <w:jc w:val="both"/>
        <w:rPr>
          <w:rFonts w:ascii="Cambria" w:hAnsi="Cambria"/>
          <w:lang w:val="en-GB"/>
        </w:rPr>
      </w:pPr>
      <w:r w:rsidRPr="00C332A6">
        <w:rPr>
          <w:rFonts w:ascii="Cambria" w:hAnsi="Cambria"/>
          <w:lang w:val="en-GB"/>
        </w:rPr>
        <w:t>A Company’s tied agent who is involved in the provision by the Company of investment services or / and the investment activities performance;</w:t>
      </w:r>
    </w:p>
    <w:p w14:paraId="7DE99063" w14:textId="2CD20FA7" w:rsidR="00A50A20" w:rsidRPr="00C332A6" w:rsidRDefault="00A50A20" w:rsidP="00A50A20">
      <w:pPr>
        <w:pStyle w:val="ListParagraph"/>
        <w:numPr>
          <w:ilvl w:val="0"/>
          <w:numId w:val="18"/>
        </w:numPr>
        <w:jc w:val="both"/>
        <w:rPr>
          <w:rFonts w:ascii="Cambria" w:hAnsi="Cambria"/>
          <w:lang w:val="en-GB"/>
        </w:rPr>
      </w:pPr>
      <w:r w:rsidRPr="00C332A6">
        <w:rPr>
          <w:rFonts w:ascii="Cambria" w:hAnsi="Cambria"/>
          <w:lang w:val="en-GB"/>
        </w:rPr>
        <w:t>Natural persons who are involved in providing services to the Company or its tied agents under an outsourcing arrangement that is aimed at the provision by the Company of investment services or / and the investment activities performance.</w:t>
      </w:r>
    </w:p>
    <w:p w14:paraId="56D3B8E2" w14:textId="35C0B10C" w:rsidR="001A698C" w:rsidRPr="00C332A6" w:rsidRDefault="00A50A20" w:rsidP="00CC158D">
      <w:pPr>
        <w:jc w:val="both"/>
        <w:rPr>
          <w:rFonts w:ascii="Cambria" w:hAnsi="Cambria"/>
        </w:rPr>
      </w:pPr>
      <w:r w:rsidRPr="00C332A6">
        <w:rPr>
          <w:rFonts w:ascii="Cambria" w:hAnsi="Cambria"/>
        </w:rPr>
        <w:t xml:space="preserve">When conflict of interest occurs, the parties that are affected may be the Company, its employees and its clients. </w:t>
      </w:r>
    </w:p>
    <w:p w14:paraId="3C54EFC1" w14:textId="490EFCB8" w:rsidR="00A50A20" w:rsidRPr="00C332A6" w:rsidRDefault="00A50A20" w:rsidP="00CC158D">
      <w:pPr>
        <w:jc w:val="both"/>
        <w:rPr>
          <w:rFonts w:ascii="Cambria" w:hAnsi="Cambria"/>
        </w:rPr>
      </w:pPr>
      <w:r w:rsidRPr="00C332A6">
        <w:rPr>
          <w:rFonts w:ascii="Cambria" w:hAnsi="Cambria"/>
        </w:rPr>
        <w:t>To be more specific, a conflict of interest can arise between:</w:t>
      </w:r>
    </w:p>
    <w:p w14:paraId="5F01FCE1" w14:textId="49803499" w:rsidR="00A50A20" w:rsidRPr="00C332A6" w:rsidRDefault="00A50A20" w:rsidP="00A50A20">
      <w:pPr>
        <w:pStyle w:val="ListParagraph"/>
        <w:numPr>
          <w:ilvl w:val="0"/>
          <w:numId w:val="20"/>
        </w:numPr>
        <w:jc w:val="both"/>
        <w:rPr>
          <w:rFonts w:ascii="Cambria" w:hAnsi="Cambria"/>
        </w:rPr>
      </w:pPr>
      <w:r w:rsidRPr="00C332A6">
        <w:rPr>
          <w:rFonts w:ascii="Cambria" w:hAnsi="Cambria"/>
        </w:rPr>
        <w:t>The client and the Company;</w:t>
      </w:r>
    </w:p>
    <w:p w14:paraId="566EAB1F" w14:textId="051598AF" w:rsidR="00A50A20" w:rsidRPr="00C332A6" w:rsidRDefault="00A50A20" w:rsidP="00A50A20">
      <w:pPr>
        <w:pStyle w:val="ListParagraph"/>
        <w:numPr>
          <w:ilvl w:val="0"/>
          <w:numId w:val="20"/>
        </w:numPr>
        <w:jc w:val="both"/>
        <w:rPr>
          <w:rFonts w:ascii="Cambria" w:hAnsi="Cambria"/>
        </w:rPr>
      </w:pPr>
      <w:r w:rsidRPr="00C332A6">
        <w:rPr>
          <w:rFonts w:ascii="Cambria" w:hAnsi="Cambria"/>
        </w:rPr>
        <w:t>Two clients of the Company;</w:t>
      </w:r>
    </w:p>
    <w:p w14:paraId="288F323D" w14:textId="2B3C6C53" w:rsidR="00A50A20" w:rsidRPr="00C332A6" w:rsidRDefault="00A50A20" w:rsidP="00A50A20">
      <w:pPr>
        <w:pStyle w:val="ListParagraph"/>
        <w:numPr>
          <w:ilvl w:val="0"/>
          <w:numId w:val="20"/>
        </w:numPr>
        <w:jc w:val="both"/>
        <w:rPr>
          <w:rFonts w:ascii="Cambria" w:hAnsi="Cambria"/>
        </w:rPr>
      </w:pPr>
      <w:r w:rsidRPr="00C332A6">
        <w:rPr>
          <w:rFonts w:ascii="Cambria" w:hAnsi="Cambria"/>
        </w:rPr>
        <w:t>The Company and its employees;</w:t>
      </w:r>
    </w:p>
    <w:p w14:paraId="4814658C" w14:textId="23DA1820" w:rsidR="00A50A20" w:rsidRPr="00C332A6" w:rsidRDefault="00C20517" w:rsidP="00A50A20">
      <w:pPr>
        <w:pStyle w:val="ListParagraph"/>
        <w:numPr>
          <w:ilvl w:val="0"/>
          <w:numId w:val="20"/>
        </w:numPr>
        <w:jc w:val="both"/>
        <w:rPr>
          <w:rFonts w:ascii="Cambria" w:hAnsi="Cambria"/>
        </w:rPr>
      </w:pPr>
      <w:r w:rsidRPr="00C332A6">
        <w:rPr>
          <w:rFonts w:ascii="Cambria" w:hAnsi="Cambria"/>
        </w:rPr>
        <w:t>A Company’s client and a Company’s manager / employee.</w:t>
      </w:r>
    </w:p>
    <w:p w14:paraId="00DC5873" w14:textId="7E2C5580" w:rsidR="00C20517" w:rsidRPr="00C332A6" w:rsidRDefault="00C20517" w:rsidP="00A50A20">
      <w:pPr>
        <w:pStyle w:val="ListParagraph"/>
        <w:numPr>
          <w:ilvl w:val="0"/>
          <w:numId w:val="20"/>
        </w:numPr>
        <w:jc w:val="both"/>
        <w:rPr>
          <w:rFonts w:ascii="Cambria" w:hAnsi="Cambria"/>
        </w:rPr>
      </w:pPr>
      <w:r w:rsidRPr="00C332A6">
        <w:rPr>
          <w:rFonts w:ascii="Cambria" w:hAnsi="Cambria"/>
        </w:rPr>
        <w:t>Departments of the Company.</w:t>
      </w:r>
    </w:p>
    <w:p w14:paraId="57F22AD7" w14:textId="77777777" w:rsidR="00E04D7A" w:rsidRDefault="00E04D7A" w:rsidP="00CC158D">
      <w:pPr>
        <w:tabs>
          <w:tab w:val="left" w:pos="720"/>
        </w:tabs>
        <w:spacing w:line="360" w:lineRule="auto"/>
        <w:jc w:val="both"/>
        <w:rPr>
          <w:rFonts w:ascii="Cambria" w:hAnsi="Cambria"/>
          <w:lang w:val="en-GB"/>
        </w:rPr>
      </w:pPr>
    </w:p>
    <w:p w14:paraId="620B2E8A" w14:textId="0B8066BD" w:rsidR="00695D1C" w:rsidRPr="00C332A6" w:rsidRDefault="00CC158D" w:rsidP="00CC158D">
      <w:pPr>
        <w:tabs>
          <w:tab w:val="left" w:pos="720"/>
        </w:tabs>
        <w:spacing w:line="360" w:lineRule="auto"/>
        <w:jc w:val="both"/>
        <w:rPr>
          <w:rFonts w:ascii="Cambria" w:hAnsi="Cambria"/>
          <w:lang w:val="en-GB"/>
        </w:rPr>
      </w:pPr>
      <w:r w:rsidRPr="00C332A6">
        <w:rPr>
          <w:rFonts w:ascii="Cambria" w:hAnsi="Cambria"/>
          <w:lang w:val="en-GB"/>
        </w:rPr>
        <w:lastRenderedPageBreak/>
        <w:t>Con</w:t>
      </w:r>
      <w:r w:rsidR="00C20517" w:rsidRPr="00C332A6">
        <w:rPr>
          <w:rFonts w:ascii="Cambria" w:hAnsi="Cambria"/>
          <w:lang w:val="en-GB"/>
        </w:rPr>
        <w:t>flicts of interest can arise in situations such as</w:t>
      </w:r>
      <w:r w:rsidRPr="00C332A6">
        <w:rPr>
          <w:rFonts w:ascii="Cambria" w:hAnsi="Cambria"/>
          <w:lang w:val="en-GB"/>
        </w:rPr>
        <w:t>:</w:t>
      </w:r>
    </w:p>
    <w:p w14:paraId="02918F34" w14:textId="48699721" w:rsidR="00695D1C" w:rsidRPr="00C332A6" w:rsidRDefault="00A67E88" w:rsidP="00695D1C">
      <w:pPr>
        <w:pStyle w:val="ListParagraph"/>
        <w:numPr>
          <w:ilvl w:val="0"/>
          <w:numId w:val="21"/>
        </w:numPr>
        <w:tabs>
          <w:tab w:val="left" w:pos="720"/>
        </w:tabs>
        <w:spacing w:line="360" w:lineRule="auto"/>
        <w:jc w:val="both"/>
        <w:rPr>
          <w:rFonts w:ascii="Cambria" w:hAnsi="Cambria"/>
          <w:lang w:val="en-GB"/>
        </w:rPr>
      </w:pPr>
      <w:r w:rsidRPr="00C332A6">
        <w:rPr>
          <w:rFonts w:ascii="Cambria" w:hAnsi="Cambria"/>
          <w:lang w:val="en-GB"/>
        </w:rPr>
        <w:t>By executing an order requested by the client, the Company may have an overall financial loss or may avoid that loss;</w:t>
      </w:r>
    </w:p>
    <w:p w14:paraId="15D7B285" w14:textId="7CA1F346" w:rsidR="00A67E88" w:rsidRPr="00C332A6" w:rsidRDefault="00A67E88" w:rsidP="00695D1C">
      <w:pPr>
        <w:pStyle w:val="ListParagraph"/>
        <w:numPr>
          <w:ilvl w:val="0"/>
          <w:numId w:val="21"/>
        </w:numPr>
        <w:tabs>
          <w:tab w:val="left" w:pos="720"/>
        </w:tabs>
        <w:spacing w:line="360" w:lineRule="auto"/>
        <w:jc w:val="both"/>
        <w:rPr>
          <w:rFonts w:ascii="Cambria" w:hAnsi="Cambria"/>
          <w:lang w:val="en-GB"/>
        </w:rPr>
      </w:pPr>
      <w:r w:rsidRPr="00C332A6">
        <w:rPr>
          <w:rFonts w:ascii="Cambria" w:hAnsi="Cambria"/>
          <w:lang w:val="en-GB"/>
        </w:rPr>
        <w:t>By not executing an order requested by the client, the Company may sustain an overall financial gain.</w:t>
      </w:r>
    </w:p>
    <w:p w14:paraId="6BFEBD24" w14:textId="52D09342" w:rsidR="00A67E88" w:rsidRPr="00C332A6" w:rsidRDefault="00A67E88" w:rsidP="00695D1C">
      <w:pPr>
        <w:pStyle w:val="ListParagraph"/>
        <w:numPr>
          <w:ilvl w:val="0"/>
          <w:numId w:val="21"/>
        </w:numPr>
        <w:tabs>
          <w:tab w:val="left" w:pos="720"/>
        </w:tabs>
        <w:spacing w:line="360" w:lineRule="auto"/>
        <w:jc w:val="both"/>
        <w:rPr>
          <w:rFonts w:ascii="Cambria" w:hAnsi="Cambria"/>
          <w:lang w:val="en-GB"/>
        </w:rPr>
      </w:pPr>
      <w:r w:rsidRPr="00C332A6">
        <w:rPr>
          <w:rFonts w:ascii="Cambria" w:hAnsi="Cambria"/>
          <w:lang w:val="en-GB"/>
        </w:rPr>
        <w:t xml:space="preserve">As the market may move to a certain direction, </w:t>
      </w:r>
      <w:r w:rsidR="002F31F6" w:rsidRPr="00C332A6">
        <w:rPr>
          <w:rFonts w:ascii="Cambria" w:hAnsi="Cambria"/>
          <w:lang w:val="en-GB"/>
        </w:rPr>
        <w:t>by executing an order requested by the client, the Company will suffer a financial loss.</w:t>
      </w:r>
    </w:p>
    <w:p w14:paraId="4AF1DB44" w14:textId="06886714" w:rsidR="00CC158D" w:rsidRPr="00C332A6" w:rsidRDefault="00CC158D" w:rsidP="002F31F6">
      <w:pPr>
        <w:pStyle w:val="ListParagraph"/>
        <w:numPr>
          <w:ilvl w:val="0"/>
          <w:numId w:val="21"/>
        </w:numPr>
        <w:tabs>
          <w:tab w:val="left" w:pos="720"/>
        </w:tabs>
        <w:spacing w:line="360" w:lineRule="auto"/>
        <w:jc w:val="both"/>
        <w:rPr>
          <w:rFonts w:ascii="Cambria" w:hAnsi="Cambria"/>
          <w:lang w:val="en-GB"/>
        </w:rPr>
      </w:pPr>
      <w:r w:rsidRPr="00C332A6">
        <w:rPr>
          <w:rFonts w:ascii="Cambria" w:hAnsi="Cambria"/>
          <w:lang w:val="en-GB"/>
        </w:rPr>
        <w:t>The Company’s hedging policy is affected negatively by the market movement and as a result client’s orders are rejected in order to prevent a financial loss for the Company.</w:t>
      </w:r>
    </w:p>
    <w:p w14:paraId="0156CED7" w14:textId="77777777" w:rsidR="00925F9F" w:rsidRPr="00C332A6" w:rsidRDefault="00925F9F" w:rsidP="00925F9F">
      <w:pPr>
        <w:spacing w:after="0" w:line="360" w:lineRule="auto"/>
        <w:ind w:left="851"/>
        <w:jc w:val="both"/>
        <w:rPr>
          <w:rFonts w:ascii="Cambria" w:hAnsi="Cambria"/>
          <w:lang w:val="en-GB"/>
        </w:rPr>
      </w:pPr>
    </w:p>
    <w:p w14:paraId="3B75998B" w14:textId="77777777" w:rsidR="00CC158D" w:rsidRPr="00C332A6" w:rsidRDefault="00CC158D" w:rsidP="00CC158D">
      <w:pPr>
        <w:pStyle w:val="ListParagraph"/>
        <w:numPr>
          <w:ilvl w:val="0"/>
          <w:numId w:val="10"/>
        </w:numPr>
        <w:spacing w:line="360" w:lineRule="auto"/>
        <w:jc w:val="both"/>
        <w:rPr>
          <w:rFonts w:ascii="Cambria" w:hAnsi="Cambria"/>
          <w:b/>
        </w:rPr>
      </w:pPr>
      <w:r w:rsidRPr="00C332A6">
        <w:rPr>
          <w:rFonts w:ascii="Cambria" w:hAnsi="Cambria"/>
          <w:b/>
        </w:rPr>
        <w:t xml:space="preserve">Independence </w:t>
      </w:r>
    </w:p>
    <w:p w14:paraId="29903B2B" w14:textId="4530639B" w:rsidR="00CC158D" w:rsidRPr="00C332A6" w:rsidRDefault="002F31F6" w:rsidP="00CC158D">
      <w:pPr>
        <w:tabs>
          <w:tab w:val="left" w:pos="720"/>
        </w:tabs>
        <w:spacing w:line="360" w:lineRule="auto"/>
        <w:jc w:val="both"/>
        <w:rPr>
          <w:rFonts w:ascii="Cambria" w:hAnsi="Cambria"/>
          <w:lang w:val="en-GB"/>
        </w:rPr>
      </w:pPr>
      <w:r w:rsidRPr="00C332A6">
        <w:rPr>
          <w:rFonts w:ascii="Cambria" w:hAnsi="Cambria"/>
          <w:lang w:val="en-GB"/>
        </w:rPr>
        <w:t>The Company has adopted t</w:t>
      </w:r>
      <w:r w:rsidR="00CC158D" w:rsidRPr="00C332A6">
        <w:rPr>
          <w:rFonts w:ascii="Cambria" w:hAnsi="Cambria"/>
          <w:lang w:val="en-GB"/>
        </w:rPr>
        <w:t xml:space="preserve">he following measures </w:t>
      </w:r>
      <w:r w:rsidRPr="00C332A6">
        <w:rPr>
          <w:rFonts w:ascii="Cambria" w:hAnsi="Cambria"/>
          <w:lang w:val="en-GB"/>
        </w:rPr>
        <w:t>to ensure</w:t>
      </w:r>
      <w:r w:rsidR="00CC158D" w:rsidRPr="00C332A6">
        <w:rPr>
          <w:rFonts w:ascii="Cambria" w:hAnsi="Cambria"/>
          <w:lang w:val="en-GB"/>
        </w:rPr>
        <w:t xml:space="preserve"> </w:t>
      </w:r>
      <w:r w:rsidRPr="00C332A6">
        <w:rPr>
          <w:rFonts w:ascii="Cambria" w:hAnsi="Cambria"/>
          <w:lang w:val="en-GB"/>
        </w:rPr>
        <w:t>a</w:t>
      </w:r>
      <w:r w:rsidR="00CC158D" w:rsidRPr="00C332A6">
        <w:rPr>
          <w:rFonts w:ascii="Cambria" w:hAnsi="Cambria"/>
          <w:lang w:val="en-GB"/>
        </w:rPr>
        <w:t xml:space="preserve"> degree of independence</w:t>
      </w:r>
    </w:p>
    <w:p w14:paraId="67E2651E" w14:textId="386C996C" w:rsidR="00593052" w:rsidRPr="00C332A6" w:rsidRDefault="00593052" w:rsidP="00593052">
      <w:pPr>
        <w:pStyle w:val="ListParagraph"/>
        <w:numPr>
          <w:ilvl w:val="0"/>
          <w:numId w:val="22"/>
        </w:numPr>
        <w:tabs>
          <w:tab w:val="left" w:pos="720"/>
        </w:tabs>
        <w:spacing w:line="360" w:lineRule="auto"/>
        <w:jc w:val="both"/>
        <w:rPr>
          <w:rFonts w:ascii="Cambria" w:hAnsi="Cambria"/>
          <w:lang w:val="en-GB"/>
        </w:rPr>
      </w:pPr>
      <w:r w:rsidRPr="00C332A6">
        <w:rPr>
          <w:rFonts w:ascii="Cambria" w:hAnsi="Cambria"/>
          <w:lang w:val="en-GB"/>
        </w:rPr>
        <w:t>Measures for preventing or controlling information exchange between persons who are</w:t>
      </w:r>
      <w:r w:rsidR="00FD0999" w:rsidRPr="00C332A6">
        <w:rPr>
          <w:rFonts w:ascii="Cambria" w:hAnsi="Cambria"/>
          <w:lang w:val="en-GB"/>
        </w:rPr>
        <w:t xml:space="preserve"> involved in activities that involve a conflict of interest risk (such as establishing a Chinese wall);</w:t>
      </w:r>
    </w:p>
    <w:p w14:paraId="3946A677" w14:textId="4C9D2B0D" w:rsidR="00FD0999" w:rsidRPr="00C332A6" w:rsidRDefault="00DE7312" w:rsidP="00593052">
      <w:pPr>
        <w:pStyle w:val="ListParagraph"/>
        <w:numPr>
          <w:ilvl w:val="0"/>
          <w:numId w:val="22"/>
        </w:numPr>
        <w:tabs>
          <w:tab w:val="left" w:pos="720"/>
        </w:tabs>
        <w:spacing w:line="360" w:lineRule="auto"/>
        <w:jc w:val="both"/>
        <w:rPr>
          <w:rFonts w:ascii="Cambria" w:hAnsi="Cambria"/>
          <w:lang w:val="en-GB"/>
        </w:rPr>
      </w:pPr>
      <w:r w:rsidRPr="00C332A6">
        <w:rPr>
          <w:rFonts w:ascii="Cambria" w:hAnsi="Cambria"/>
          <w:lang w:val="en-GB"/>
        </w:rPr>
        <w:t>Relevant persons suffer further supervision. These persons refer to the one</w:t>
      </w:r>
      <w:r w:rsidR="00121FF2">
        <w:rPr>
          <w:rFonts w:ascii="Cambria" w:hAnsi="Cambria"/>
          <w:lang w:val="en-GB"/>
        </w:rPr>
        <w:t>s</w:t>
      </w:r>
      <w:r w:rsidRPr="00C332A6">
        <w:rPr>
          <w:rFonts w:ascii="Cambria" w:hAnsi="Cambria"/>
          <w:lang w:val="en-GB"/>
        </w:rPr>
        <w:t xml:space="preserve"> who carry out activities on behalf of or provide services to clients whose interest may enter into conflict or who have different interests than those of the Company. The departments of the Company that may enter under further supervision are:</w:t>
      </w:r>
    </w:p>
    <w:p w14:paraId="431A070A" w14:textId="769F9E16" w:rsidR="00DE7312" w:rsidRPr="00C332A6" w:rsidRDefault="00DE7312" w:rsidP="00DE7312">
      <w:pPr>
        <w:pStyle w:val="ListParagraph"/>
        <w:numPr>
          <w:ilvl w:val="0"/>
          <w:numId w:val="23"/>
        </w:numPr>
        <w:tabs>
          <w:tab w:val="left" w:pos="720"/>
        </w:tabs>
        <w:spacing w:line="360" w:lineRule="auto"/>
        <w:jc w:val="both"/>
        <w:rPr>
          <w:rFonts w:ascii="Cambria" w:hAnsi="Cambria"/>
          <w:lang w:val="en-GB"/>
        </w:rPr>
      </w:pPr>
      <w:r w:rsidRPr="00C332A6">
        <w:rPr>
          <w:rFonts w:ascii="Cambria" w:hAnsi="Cambria"/>
          <w:lang w:val="en-GB"/>
        </w:rPr>
        <w:t>Dealing Room</w:t>
      </w:r>
    </w:p>
    <w:p w14:paraId="20D5B832" w14:textId="23989B16" w:rsidR="00816719" w:rsidRPr="00C332A6" w:rsidRDefault="00DE7312" w:rsidP="00816719">
      <w:pPr>
        <w:tabs>
          <w:tab w:val="left" w:pos="720"/>
        </w:tabs>
        <w:spacing w:line="360" w:lineRule="auto"/>
        <w:ind w:left="709" w:hanging="283"/>
        <w:jc w:val="both"/>
        <w:rPr>
          <w:rFonts w:ascii="Cambria" w:hAnsi="Cambria"/>
          <w:lang w:val="en-GB"/>
        </w:rPr>
      </w:pPr>
      <w:r w:rsidRPr="00C332A6">
        <w:rPr>
          <w:rFonts w:ascii="Cambria" w:hAnsi="Cambria"/>
          <w:lang w:val="en-GB"/>
        </w:rPr>
        <w:t xml:space="preserve">3.  Any direct link between remuneration of persons </w:t>
      </w:r>
      <w:r w:rsidR="00816719" w:rsidRPr="00C332A6">
        <w:rPr>
          <w:rFonts w:ascii="Cambria" w:hAnsi="Cambria"/>
          <w:lang w:val="en-GB"/>
        </w:rPr>
        <w:t>principally involved in one activity and the remuneration of / revenues generated by different relevant persons involved in another activity is removed, if there is a chance that a conflict of interest may arise:</w:t>
      </w:r>
    </w:p>
    <w:p w14:paraId="30824D92" w14:textId="463C4B8B" w:rsidR="00816719" w:rsidRPr="00C332A6" w:rsidRDefault="00816719" w:rsidP="00816719">
      <w:pPr>
        <w:pStyle w:val="ListParagraph"/>
        <w:numPr>
          <w:ilvl w:val="0"/>
          <w:numId w:val="23"/>
        </w:numPr>
        <w:tabs>
          <w:tab w:val="left" w:pos="720"/>
        </w:tabs>
        <w:spacing w:line="360" w:lineRule="auto"/>
        <w:jc w:val="both"/>
        <w:rPr>
          <w:rFonts w:ascii="Cambria" w:hAnsi="Cambria"/>
          <w:lang w:val="en-GB"/>
        </w:rPr>
      </w:pPr>
      <w:r w:rsidRPr="00C332A6">
        <w:rPr>
          <w:rFonts w:ascii="Cambria" w:hAnsi="Cambria"/>
          <w:lang w:val="en-GB"/>
        </w:rPr>
        <w:t>Employees of the Dealing Room do not have their remuneration linked to clients’ performance.</w:t>
      </w:r>
    </w:p>
    <w:p w14:paraId="122AF01C" w14:textId="45BEDF72" w:rsidR="00816719" w:rsidRPr="00C332A6" w:rsidRDefault="00816719" w:rsidP="00816719">
      <w:pPr>
        <w:tabs>
          <w:tab w:val="left" w:pos="720"/>
        </w:tabs>
        <w:spacing w:line="360" w:lineRule="auto"/>
        <w:ind w:left="709" w:hanging="283"/>
        <w:jc w:val="both"/>
        <w:rPr>
          <w:rFonts w:ascii="Cambria" w:hAnsi="Cambria"/>
          <w:lang w:val="en-GB"/>
        </w:rPr>
      </w:pPr>
      <w:r w:rsidRPr="00C332A6">
        <w:rPr>
          <w:rFonts w:ascii="Cambria" w:hAnsi="Cambria"/>
          <w:lang w:val="en-GB"/>
        </w:rPr>
        <w:t>4. Measures are taken to prevent or limit a person’s capacity to exercise an inappropriate influence regarding the way that person carries out his duties related to investment or ancillary services or activities.</w:t>
      </w:r>
    </w:p>
    <w:p w14:paraId="347636CF" w14:textId="53F8FF03" w:rsidR="00CC158D" w:rsidRPr="00C332A6" w:rsidRDefault="00816719" w:rsidP="00816719">
      <w:pPr>
        <w:tabs>
          <w:tab w:val="left" w:pos="720"/>
        </w:tabs>
        <w:spacing w:line="360" w:lineRule="auto"/>
        <w:ind w:left="709" w:hanging="283"/>
        <w:jc w:val="both"/>
        <w:rPr>
          <w:rFonts w:ascii="Cambria" w:hAnsi="Cambria"/>
          <w:lang w:val="en-GB"/>
        </w:rPr>
      </w:pPr>
      <w:r w:rsidRPr="00C332A6">
        <w:rPr>
          <w:rFonts w:ascii="Cambria" w:hAnsi="Cambria"/>
          <w:lang w:val="en-GB"/>
        </w:rPr>
        <w:lastRenderedPageBreak/>
        <w:t>5. Measures are also takes to control the involvement of a relevant person in activities like the reception and transmission of clients’ orders and task, including decisions related to portfolio and performance calculation.</w:t>
      </w:r>
    </w:p>
    <w:p w14:paraId="7A49C267" w14:textId="77777777" w:rsidR="00925F9F" w:rsidRPr="00C332A6" w:rsidRDefault="00925F9F" w:rsidP="00925F9F">
      <w:pPr>
        <w:tabs>
          <w:tab w:val="left" w:pos="720"/>
        </w:tabs>
        <w:spacing w:after="0" w:line="360" w:lineRule="auto"/>
        <w:ind w:left="420"/>
        <w:jc w:val="both"/>
        <w:rPr>
          <w:rFonts w:ascii="Cambria" w:hAnsi="Cambria"/>
          <w:lang w:val="en-GB"/>
        </w:rPr>
      </w:pPr>
    </w:p>
    <w:p w14:paraId="36216729" w14:textId="7E9202E8" w:rsidR="003C32AD" w:rsidRPr="00C332A6" w:rsidRDefault="003C32AD" w:rsidP="009E685A">
      <w:pPr>
        <w:pStyle w:val="ListParagraph"/>
        <w:numPr>
          <w:ilvl w:val="0"/>
          <w:numId w:val="10"/>
        </w:numPr>
        <w:spacing w:line="360" w:lineRule="auto"/>
        <w:jc w:val="both"/>
        <w:rPr>
          <w:rFonts w:ascii="Cambria" w:hAnsi="Cambria"/>
          <w:b/>
          <w:i/>
        </w:rPr>
      </w:pPr>
      <w:r w:rsidRPr="00C332A6">
        <w:rPr>
          <w:rFonts w:ascii="Cambria" w:hAnsi="Cambria"/>
          <w:b/>
        </w:rPr>
        <w:t>The</w:t>
      </w:r>
      <w:r w:rsidRPr="00C332A6">
        <w:rPr>
          <w:rFonts w:ascii="Cambria" w:hAnsi="Cambria"/>
          <w:b/>
          <w:i/>
        </w:rPr>
        <w:t xml:space="preserve"> </w:t>
      </w:r>
      <w:r w:rsidRPr="00C332A6">
        <w:rPr>
          <w:rFonts w:ascii="Cambria" w:hAnsi="Cambria"/>
          <w:b/>
        </w:rPr>
        <w:t>Senior Management</w:t>
      </w:r>
      <w:r w:rsidR="00816719" w:rsidRPr="00C332A6">
        <w:rPr>
          <w:rFonts w:ascii="Cambria" w:hAnsi="Cambria"/>
          <w:b/>
        </w:rPr>
        <w:t xml:space="preserve"> of the Company</w:t>
      </w:r>
      <w:r w:rsidRPr="00C332A6">
        <w:rPr>
          <w:rFonts w:ascii="Cambria" w:hAnsi="Cambria"/>
          <w:b/>
          <w:i/>
        </w:rPr>
        <w:t xml:space="preserve"> </w:t>
      </w:r>
      <w:r w:rsidR="00C15B36" w:rsidRPr="00C332A6">
        <w:rPr>
          <w:rFonts w:ascii="Cambria" w:hAnsi="Cambria"/>
          <w:b/>
        </w:rPr>
        <w:t>M</w:t>
      </w:r>
      <w:r w:rsidR="00816719" w:rsidRPr="00C332A6">
        <w:rPr>
          <w:rFonts w:ascii="Cambria" w:hAnsi="Cambria"/>
          <w:b/>
        </w:rPr>
        <w:t>ust</w:t>
      </w:r>
      <w:r w:rsidRPr="00C332A6">
        <w:rPr>
          <w:rFonts w:ascii="Cambria" w:hAnsi="Cambria"/>
          <w:b/>
          <w:i/>
        </w:rPr>
        <w:t xml:space="preserve">: </w:t>
      </w:r>
    </w:p>
    <w:p w14:paraId="35EC441E" w14:textId="6E71C449" w:rsidR="00C15B36" w:rsidRPr="00C332A6" w:rsidRDefault="00816719" w:rsidP="00C15B36">
      <w:pPr>
        <w:pStyle w:val="ListParagraph"/>
        <w:numPr>
          <w:ilvl w:val="1"/>
          <w:numId w:val="10"/>
        </w:numPr>
        <w:spacing w:line="360" w:lineRule="auto"/>
        <w:jc w:val="both"/>
        <w:rPr>
          <w:rFonts w:ascii="Cambria" w:hAnsi="Cambria"/>
        </w:rPr>
      </w:pPr>
      <w:r w:rsidRPr="00C332A6">
        <w:rPr>
          <w:rFonts w:ascii="Cambria" w:hAnsi="Cambria"/>
        </w:rPr>
        <w:t xml:space="preserve">engage completely in all actions regarding policy and procedure implementation, </w:t>
      </w:r>
      <w:r w:rsidR="00C15B36" w:rsidRPr="00C332A6">
        <w:rPr>
          <w:rFonts w:ascii="Cambria" w:hAnsi="Cambria"/>
        </w:rPr>
        <w:t>management and monitorization of conflicts of interest;</w:t>
      </w:r>
    </w:p>
    <w:p w14:paraId="1D8421A7" w14:textId="62C901D5" w:rsidR="00C15B36" w:rsidRPr="00C332A6" w:rsidRDefault="00C15B36" w:rsidP="00C15B36">
      <w:pPr>
        <w:pStyle w:val="ListParagraph"/>
        <w:numPr>
          <w:ilvl w:val="1"/>
          <w:numId w:val="10"/>
        </w:numPr>
        <w:spacing w:line="360" w:lineRule="auto"/>
        <w:jc w:val="both"/>
        <w:rPr>
          <w:rFonts w:ascii="Cambria" w:hAnsi="Cambria"/>
        </w:rPr>
      </w:pPr>
      <w:r w:rsidRPr="00C332A6">
        <w:rPr>
          <w:rFonts w:ascii="Cambria" w:hAnsi="Cambria"/>
        </w:rPr>
        <w:t>try to ensure all measures are taken to identify potential and emerging conflicts within and across business lines and to make informed decisions related to any of these conflicts;</w:t>
      </w:r>
    </w:p>
    <w:p w14:paraId="545824FD" w14:textId="448EA818" w:rsidR="00C15B36" w:rsidRPr="00C332A6" w:rsidRDefault="00C15B36" w:rsidP="00C15B36">
      <w:pPr>
        <w:pStyle w:val="ListParagraph"/>
        <w:numPr>
          <w:ilvl w:val="1"/>
          <w:numId w:val="10"/>
        </w:numPr>
        <w:spacing w:line="360" w:lineRule="auto"/>
        <w:jc w:val="both"/>
        <w:rPr>
          <w:rFonts w:ascii="Cambria" w:hAnsi="Cambria"/>
        </w:rPr>
      </w:pPr>
      <w:r w:rsidRPr="00C332A6">
        <w:rPr>
          <w:rFonts w:ascii="Cambria" w:hAnsi="Cambria"/>
        </w:rPr>
        <w:t>raise awareness and ensure compliance of the employees and any individuals related to the Company by: offering regular training; clearly communicating the policies, procedures and expectations; increase awareness related to the conflict of interest procedures; sharing best practice throughout the Company.</w:t>
      </w:r>
    </w:p>
    <w:p w14:paraId="2FD366EE" w14:textId="1B8EAE66" w:rsidR="00C15B36" w:rsidRPr="00C332A6" w:rsidRDefault="00C15B36" w:rsidP="00C15B36">
      <w:pPr>
        <w:pStyle w:val="ListParagraph"/>
        <w:numPr>
          <w:ilvl w:val="1"/>
          <w:numId w:val="10"/>
        </w:numPr>
        <w:spacing w:line="360" w:lineRule="auto"/>
        <w:jc w:val="both"/>
        <w:rPr>
          <w:rFonts w:ascii="Cambria" w:hAnsi="Cambria"/>
        </w:rPr>
      </w:pPr>
      <w:r w:rsidRPr="00C332A6">
        <w:rPr>
          <w:rFonts w:ascii="Cambria" w:hAnsi="Cambria"/>
        </w:rPr>
        <w:t>take measures for ensuring that the strategies used to manage and mitigate risks remain appropriate and effective;</w:t>
      </w:r>
    </w:p>
    <w:p w14:paraId="4BC53753" w14:textId="5E215552" w:rsidR="00C15B36" w:rsidRPr="00C332A6" w:rsidRDefault="00C15B36" w:rsidP="00C15B36">
      <w:pPr>
        <w:pStyle w:val="ListParagraph"/>
        <w:numPr>
          <w:ilvl w:val="1"/>
          <w:numId w:val="10"/>
        </w:numPr>
        <w:spacing w:line="360" w:lineRule="auto"/>
        <w:jc w:val="both"/>
        <w:rPr>
          <w:rFonts w:ascii="Cambria" w:hAnsi="Cambria"/>
        </w:rPr>
      </w:pPr>
      <w:r w:rsidRPr="00C332A6">
        <w:rPr>
          <w:rFonts w:ascii="Cambria" w:hAnsi="Cambria"/>
        </w:rPr>
        <w:t>utilize information held by management to stay up-to-date with all procedures;</w:t>
      </w:r>
    </w:p>
    <w:p w14:paraId="7AB3E160" w14:textId="448965F1" w:rsidR="00925F9F" w:rsidRDefault="00C15B36" w:rsidP="00C15B36">
      <w:pPr>
        <w:pStyle w:val="ListParagraph"/>
        <w:numPr>
          <w:ilvl w:val="1"/>
          <w:numId w:val="10"/>
        </w:numPr>
        <w:spacing w:line="360" w:lineRule="auto"/>
        <w:jc w:val="both"/>
        <w:rPr>
          <w:rFonts w:ascii="Cambria" w:hAnsi="Cambria"/>
        </w:rPr>
      </w:pPr>
      <w:r w:rsidRPr="00C332A6">
        <w:rPr>
          <w:rFonts w:ascii="Cambria" w:hAnsi="Cambria"/>
        </w:rPr>
        <w:t>support constant review of the processes and procedures.</w:t>
      </w:r>
    </w:p>
    <w:p w14:paraId="6618AEAF" w14:textId="77777777" w:rsidR="00121FF2" w:rsidRPr="00C332A6" w:rsidRDefault="00121FF2" w:rsidP="00121FF2">
      <w:pPr>
        <w:pStyle w:val="ListParagraph"/>
        <w:spacing w:line="360" w:lineRule="auto"/>
        <w:ind w:left="1080"/>
        <w:jc w:val="both"/>
        <w:rPr>
          <w:rFonts w:ascii="Cambria" w:hAnsi="Cambria"/>
        </w:rPr>
      </w:pPr>
    </w:p>
    <w:p w14:paraId="216447AF" w14:textId="467F37C4" w:rsidR="00447769" w:rsidRPr="00C332A6" w:rsidRDefault="00447769" w:rsidP="009E685A">
      <w:pPr>
        <w:pStyle w:val="ListParagraph"/>
        <w:numPr>
          <w:ilvl w:val="0"/>
          <w:numId w:val="10"/>
        </w:numPr>
        <w:spacing w:line="360" w:lineRule="auto"/>
        <w:jc w:val="both"/>
        <w:rPr>
          <w:rFonts w:ascii="Cambria" w:hAnsi="Cambria"/>
          <w:b/>
        </w:rPr>
      </w:pPr>
      <w:r w:rsidRPr="00C332A6">
        <w:rPr>
          <w:rFonts w:ascii="Cambria" w:hAnsi="Cambria"/>
          <w:b/>
        </w:rPr>
        <w:t>C</w:t>
      </w:r>
      <w:r w:rsidR="00C15B36" w:rsidRPr="00C332A6">
        <w:rPr>
          <w:rFonts w:ascii="Cambria" w:hAnsi="Cambria"/>
          <w:b/>
        </w:rPr>
        <w:t>hinese W</w:t>
      </w:r>
      <w:r w:rsidRPr="00C332A6">
        <w:rPr>
          <w:rFonts w:ascii="Cambria" w:hAnsi="Cambria"/>
          <w:b/>
        </w:rPr>
        <w:t>alls</w:t>
      </w:r>
    </w:p>
    <w:p w14:paraId="78D07C5D" w14:textId="77777777" w:rsidR="00AC317C" w:rsidRDefault="00C15B36" w:rsidP="008B1FC3">
      <w:pPr>
        <w:jc w:val="both"/>
        <w:rPr>
          <w:rFonts w:ascii="Cambria" w:hAnsi="Cambria"/>
        </w:rPr>
      </w:pPr>
      <w:r w:rsidRPr="00C332A6">
        <w:rPr>
          <w:rFonts w:ascii="Cambria" w:hAnsi="Cambria"/>
        </w:rPr>
        <w:t xml:space="preserve">The Company has developed Chinese Walls that comply with legal requirements between the departments. </w:t>
      </w:r>
    </w:p>
    <w:p w14:paraId="0EAE40C6" w14:textId="3B8F0570" w:rsidR="00C15B36" w:rsidRPr="00C332A6" w:rsidRDefault="00AC317C" w:rsidP="008B1FC3">
      <w:pPr>
        <w:jc w:val="both"/>
        <w:rPr>
          <w:rFonts w:ascii="Cambria" w:hAnsi="Cambria"/>
        </w:rPr>
      </w:pPr>
      <w:r>
        <w:rPr>
          <w:rFonts w:ascii="Cambria" w:hAnsi="Cambria"/>
        </w:rPr>
        <w:t>C</w:t>
      </w:r>
      <w:r w:rsidR="00C15B36" w:rsidRPr="00C332A6">
        <w:rPr>
          <w:rFonts w:ascii="Cambria" w:hAnsi="Cambria"/>
        </w:rPr>
        <w:t xml:space="preserve">lear lines of responsibility have been established to avoid that information held by a person when carrying out his / her responsibilities isn’t used in an improper manner. </w:t>
      </w:r>
    </w:p>
    <w:p w14:paraId="3B0393BB" w14:textId="0B841654" w:rsidR="00C15B36" w:rsidRPr="00C332A6" w:rsidRDefault="000701D7" w:rsidP="008B1FC3">
      <w:pPr>
        <w:jc w:val="both"/>
        <w:rPr>
          <w:rFonts w:ascii="Cambria" w:hAnsi="Cambria"/>
        </w:rPr>
      </w:pPr>
      <w:r w:rsidRPr="00C332A6">
        <w:rPr>
          <w:rFonts w:ascii="Cambria" w:hAnsi="Cambria"/>
        </w:rPr>
        <w:t>Furthermore, the Company has establ</w:t>
      </w:r>
      <w:r w:rsidR="00AC317C">
        <w:rPr>
          <w:rFonts w:ascii="Cambria" w:hAnsi="Cambria"/>
        </w:rPr>
        <w:t xml:space="preserve">ished physical barriers </w:t>
      </w:r>
      <w:r w:rsidRPr="00C332A6">
        <w:rPr>
          <w:rFonts w:ascii="Cambria" w:hAnsi="Cambria"/>
        </w:rPr>
        <w:t xml:space="preserve">in order that the flow information remains between employees. </w:t>
      </w:r>
      <w:r w:rsidR="004A7D68" w:rsidRPr="00C332A6">
        <w:rPr>
          <w:rFonts w:ascii="Cambria" w:hAnsi="Cambria"/>
        </w:rPr>
        <w:t xml:space="preserve">In the course of carrying out parts of business by employees, access has been limited regarding information, documentation and communication according to each employee’s attributions.  </w:t>
      </w:r>
      <w:r w:rsidRPr="00C332A6">
        <w:rPr>
          <w:rFonts w:ascii="Cambria" w:hAnsi="Cambria"/>
        </w:rPr>
        <w:t xml:space="preserve"> </w:t>
      </w:r>
    </w:p>
    <w:p w14:paraId="076E8C26" w14:textId="274012DF" w:rsidR="008B1FC3" w:rsidRPr="00C332A6" w:rsidRDefault="00993B09" w:rsidP="009E685A">
      <w:pPr>
        <w:pStyle w:val="ListParagraph"/>
        <w:numPr>
          <w:ilvl w:val="0"/>
          <w:numId w:val="10"/>
        </w:numPr>
        <w:spacing w:line="360" w:lineRule="auto"/>
        <w:jc w:val="both"/>
        <w:rPr>
          <w:rFonts w:ascii="Cambria" w:hAnsi="Cambria"/>
          <w:b/>
        </w:rPr>
      </w:pPr>
      <w:r w:rsidRPr="00C332A6">
        <w:rPr>
          <w:rFonts w:ascii="Cambria" w:hAnsi="Cambria"/>
          <w:b/>
        </w:rPr>
        <w:t>Conflict of I</w:t>
      </w:r>
      <w:r w:rsidR="008B1FC3" w:rsidRPr="00C332A6">
        <w:rPr>
          <w:rFonts w:ascii="Cambria" w:hAnsi="Cambria"/>
          <w:b/>
        </w:rPr>
        <w:t xml:space="preserve">nterest </w:t>
      </w:r>
      <w:r w:rsidRPr="00C332A6">
        <w:rPr>
          <w:rFonts w:ascii="Cambria" w:hAnsi="Cambria"/>
          <w:b/>
        </w:rPr>
        <w:t>Disclosure</w:t>
      </w:r>
    </w:p>
    <w:p w14:paraId="12809269" w14:textId="23A12E7E" w:rsidR="00BA4C79" w:rsidRPr="00C332A6" w:rsidRDefault="00BA4C79" w:rsidP="008B1FC3">
      <w:pPr>
        <w:jc w:val="both"/>
        <w:rPr>
          <w:rFonts w:ascii="Cambria" w:hAnsi="Cambria"/>
        </w:rPr>
      </w:pPr>
      <w:r w:rsidRPr="00C332A6">
        <w:rPr>
          <w:rFonts w:ascii="Cambria" w:hAnsi="Cambria"/>
        </w:rPr>
        <w:t>When the measures the C</w:t>
      </w:r>
      <w:r w:rsidR="001C5322" w:rsidRPr="00C332A6">
        <w:rPr>
          <w:rFonts w:ascii="Cambria" w:hAnsi="Cambria"/>
        </w:rPr>
        <w:t>ompany takes to manage conflicts of inte</w:t>
      </w:r>
      <w:r w:rsidR="00473DB7" w:rsidRPr="00C332A6">
        <w:rPr>
          <w:rFonts w:ascii="Cambria" w:hAnsi="Cambria"/>
        </w:rPr>
        <w:t xml:space="preserve">rest are not sufficient to prevent the risk of damaging the clients’ interests, the Company will disclose the conflicts of interest to the client for the prevention of risk damage regarding clients’ interests. Before a transaction is carried out or an investment or ancillary service is provided to a client, the </w:t>
      </w:r>
      <w:r w:rsidR="00473DB7" w:rsidRPr="00C332A6">
        <w:rPr>
          <w:rFonts w:ascii="Cambria" w:hAnsi="Cambria"/>
        </w:rPr>
        <w:lastRenderedPageBreak/>
        <w:t xml:space="preserve">Company has the obligation to disclose any potential or actual conflict of interest, and the disclosure must happen in a timely manner. </w:t>
      </w:r>
    </w:p>
    <w:p w14:paraId="1336F578" w14:textId="77777777" w:rsidR="00CC158D" w:rsidRPr="00C332A6" w:rsidRDefault="00CC158D" w:rsidP="00CC158D">
      <w:pPr>
        <w:pStyle w:val="ListParagraph"/>
        <w:numPr>
          <w:ilvl w:val="0"/>
          <w:numId w:val="10"/>
        </w:numPr>
        <w:spacing w:line="360" w:lineRule="auto"/>
        <w:jc w:val="both"/>
        <w:rPr>
          <w:rFonts w:ascii="Cambria" w:hAnsi="Cambria"/>
          <w:b/>
        </w:rPr>
      </w:pPr>
      <w:r w:rsidRPr="00C332A6">
        <w:rPr>
          <w:rFonts w:ascii="Cambria" w:hAnsi="Cambria"/>
          <w:b/>
        </w:rPr>
        <w:t>Reporting Conflicts of Interest</w:t>
      </w:r>
    </w:p>
    <w:p w14:paraId="5D3B685B" w14:textId="45F11C37" w:rsidR="00473DB7" w:rsidRPr="00C332A6" w:rsidRDefault="00473DB7" w:rsidP="00CC158D">
      <w:pPr>
        <w:spacing w:line="360" w:lineRule="auto"/>
        <w:jc w:val="both"/>
        <w:rPr>
          <w:rFonts w:ascii="Cambria" w:hAnsi="Cambria"/>
        </w:rPr>
      </w:pPr>
      <w:r w:rsidRPr="00C332A6">
        <w:rPr>
          <w:rFonts w:ascii="Cambria" w:hAnsi="Cambria"/>
        </w:rPr>
        <w:t>When</w:t>
      </w:r>
      <w:r w:rsidR="00CC158D" w:rsidRPr="00C332A6">
        <w:rPr>
          <w:rFonts w:ascii="Cambria" w:hAnsi="Cambria"/>
        </w:rPr>
        <w:t xml:space="preserve"> a possible conflict of interest</w:t>
      </w:r>
      <w:r w:rsidRPr="00C332A6">
        <w:rPr>
          <w:rFonts w:ascii="Cambria" w:hAnsi="Cambria"/>
        </w:rPr>
        <w:t xml:space="preserve"> is identified</w:t>
      </w:r>
      <w:r w:rsidR="00CC158D" w:rsidRPr="00C332A6">
        <w:rPr>
          <w:rFonts w:ascii="Cambria" w:hAnsi="Cambria"/>
        </w:rPr>
        <w:t xml:space="preserve">, </w:t>
      </w:r>
      <w:r w:rsidRPr="00C332A6">
        <w:rPr>
          <w:rFonts w:ascii="Cambria" w:hAnsi="Cambria"/>
        </w:rPr>
        <w:t xml:space="preserve">the employee who identified it must </w:t>
      </w:r>
      <w:r w:rsidR="00AC317C">
        <w:rPr>
          <w:rFonts w:ascii="Cambria" w:hAnsi="Cambria"/>
        </w:rPr>
        <w:t xml:space="preserve">contact immediately </w:t>
      </w:r>
      <w:r w:rsidRPr="00C332A6">
        <w:rPr>
          <w:rFonts w:ascii="Cambria" w:hAnsi="Cambria"/>
        </w:rPr>
        <w:t>his supervisor to assist him in the assessment of the risk and send a filled-out Notification Form with all details, including:</w:t>
      </w:r>
    </w:p>
    <w:p w14:paraId="149BCA37" w14:textId="005EA366" w:rsidR="00473DB7" w:rsidRPr="00C332A6" w:rsidRDefault="00473DB7" w:rsidP="00473DB7">
      <w:pPr>
        <w:pStyle w:val="ListParagraph"/>
        <w:numPr>
          <w:ilvl w:val="0"/>
          <w:numId w:val="23"/>
        </w:numPr>
        <w:spacing w:line="360" w:lineRule="auto"/>
        <w:jc w:val="both"/>
        <w:rPr>
          <w:rFonts w:ascii="Cambria" w:hAnsi="Cambria"/>
        </w:rPr>
      </w:pPr>
      <w:r w:rsidRPr="00C332A6">
        <w:rPr>
          <w:rFonts w:ascii="Cambria" w:hAnsi="Cambria"/>
        </w:rPr>
        <w:t>Actions for correction and prevention;</w:t>
      </w:r>
    </w:p>
    <w:p w14:paraId="36185DAB" w14:textId="77777777" w:rsidR="00473DB7" w:rsidRPr="00C332A6" w:rsidRDefault="00473DB7" w:rsidP="00473DB7">
      <w:pPr>
        <w:pStyle w:val="ListParagraph"/>
        <w:numPr>
          <w:ilvl w:val="0"/>
          <w:numId w:val="23"/>
        </w:numPr>
        <w:spacing w:line="360" w:lineRule="auto"/>
        <w:jc w:val="both"/>
        <w:rPr>
          <w:rFonts w:ascii="Cambria" w:hAnsi="Cambria"/>
        </w:rPr>
      </w:pPr>
      <w:r w:rsidRPr="00C332A6">
        <w:rPr>
          <w:rFonts w:ascii="Cambria" w:hAnsi="Cambria"/>
        </w:rPr>
        <w:t>The appropriateness of these actions;</w:t>
      </w:r>
    </w:p>
    <w:p w14:paraId="3635036C" w14:textId="77777777" w:rsidR="00473DB7" w:rsidRPr="00C332A6" w:rsidRDefault="00473DB7" w:rsidP="00473DB7">
      <w:pPr>
        <w:pStyle w:val="ListParagraph"/>
        <w:numPr>
          <w:ilvl w:val="0"/>
          <w:numId w:val="23"/>
        </w:numPr>
        <w:spacing w:line="360" w:lineRule="auto"/>
        <w:jc w:val="both"/>
        <w:rPr>
          <w:rFonts w:ascii="Cambria" w:hAnsi="Cambria"/>
        </w:rPr>
      </w:pPr>
      <w:r w:rsidRPr="00C332A6">
        <w:rPr>
          <w:rFonts w:ascii="Cambria" w:hAnsi="Cambria"/>
        </w:rPr>
        <w:t>Conditions that might be imposed;</w:t>
      </w:r>
    </w:p>
    <w:p w14:paraId="0CE77799" w14:textId="4DD43C53" w:rsidR="00473DB7" w:rsidRDefault="00473DB7" w:rsidP="00CC158D">
      <w:pPr>
        <w:pStyle w:val="ListParagraph"/>
        <w:numPr>
          <w:ilvl w:val="0"/>
          <w:numId w:val="23"/>
        </w:numPr>
        <w:spacing w:line="360" w:lineRule="auto"/>
        <w:jc w:val="both"/>
        <w:rPr>
          <w:rFonts w:ascii="Cambria" w:hAnsi="Cambria"/>
        </w:rPr>
      </w:pPr>
      <w:r w:rsidRPr="00C332A6">
        <w:rPr>
          <w:rFonts w:ascii="Cambria" w:hAnsi="Cambria"/>
        </w:rPr>
        <w:t>Whether conflicts are still ongoing, how they are managed and how the client has been advised.</w:t>
      </w:r>
    </w:p>
    <w:p w14:paraId="621B2DE4" w14:textId="77777777" w:rsidR="00AC317C" w:rsidRPr="00C332A6" w:rsidRDefault="00AC317C" w:rsidP="00AC317C">
      <w:pPr>
        <w:pStyle w:val="ListParagraph"/>
        <w:spacing w:line="360" w:lineRule="auto"/>
        <w:ind w:left="1440"/>
        <w:jc w:val="both"/>
        <w:rPr>
          <w:rFonts w:ascii="Cambria" w:hAnsi="Cambria"/>
        </w:rPr>
      </w:pPr>
    </w:p>
    <w:p w14:paraId="1837BA35" w14:textId="77777777" w:rsidR="009E685A" w:rsidRPr="00C332A6" w:rsidRDefault="009E685A" w:rsidP="009E685A">
      <w:pPr>
        <w:pStyle w:val="ListParagraph"/>
        <w:numPr>
          <w:ilvl w:val="0"/>
          <w:numId w:val="10"/>
        </w:numPr>
        <w:spacing w:line="360" w:lineRule="auto"/>
        <w:jc w:val="both"/>
        <w:rPr>
          <w:rFonts w:ascii="Cambria" w:hAnsi="Cambria"/>
          <w:b/>
        </w:rPr>
      </w:pPr>
      <w:r w:rsidRPr="00C332A6">
        <w:rPr>
          <w:rFonts w:ascii="Cambria" w:hAnsi="Cambria"/>
          <w:b/>
        </w:rPr>
        <w:t>Marketing Communication</w:t>
      </w:r>
    </w:p>
    <w:p w14:paraId="1AB6C303" w14:textId="77777777" w:rsidR="00A6112B" w:rsidRPr="00C332A6" w:rsidRDefault="009E685A" w:rsidP="00A6112B">
      <w:pPr>
        <w:tabs>
          <w:tab w:val="left" w:pos="426"/>
          <w:tab w:val="left" w:pos="851"/>
        </w:tabs>
        <w:autoSpaceDE w:val="0"/>
        <w:autoSpaceDN w:val="0"/>
        <w:adjustRightInd w:val="0"/>
        <w:spacing w:line="360" w:lineRule="auto"/>
        <w:ind w:left="426"/>
        <w:jc w:val="both"/>
        <w:rPr>
          <w:rFonts w:ascii="Cambria" w:hAnsi="Cambria"/>
        </w:rPr>
      </w:pPr>
      <w:r w:rsidRPr="00C332A6">
        <w:rPr>
          <w:rFonts w:ascii="Cambria" w:hAnsi="Cambria"/>
        </w:rPr>
        <w:t>The Company</w:t>
      </w:r>
      <w:r w:rsidR="00473DB7" w:rsidRPr="00C332A6">
        <w:rPr>
          <w:rFonts w:ascii="Cambria" w:hAnsi="Cambria"/>
        </w:rPr>
        <w:t xml:space="preserve"> must make sure that any recommendation that has been made has a clear and prominent statement. These communications must be prepared according </w:t>
      </w:r>
      <w:r w:rsidR="00A6112B" w:rsidRPr="00C332A6">
        <w:rPr>
          <w:rFonts w:ascii="Cambria" w:hAnsi="Cambria"/>
        </w:rPr>
        <w:t xml:space="preserve">to legal requirements. </w:t>
      </w:r>
      <w:r w:rsidR="00473DB7" w:rsidRPr="00C332A6">
        <w:rPr>
          <w:rFonts w:ascii="Cambria" w:hAnsi="Cambria"/>
        </w:rPr>
        <w:t xml:space="preserve"> </w:t>
      </w:r>
    </w:p>
    <w:p w14:paraId="7086706E" w14:textId="13C26C1A" w:rsidR="008B1FC3" w:rsidRPr="00C332A6" w:rsidRDefault="00A6112B" w:rsidP="00A6112B">
      <w:pPr>
        <w:tabs>
          <w:tab w:val="left" w:pos="426"/>
          <w:tab w:val="left" w:pos="851"/>
        </w:tabs>
        <w:autoSpaceDE w:val="0"/>
        <w:autoSpaceDN w:val="0"/>
        <w:adjustRightInd w:val="0"/>
        <w:spacing w:line="360" w:lineRule="auto"/>
        <w:jc w:val="both"/>
        <w:rPr>
          <w:rFonts w:ascii="Cambria" w:hAnsi="Cambria"/>
        </w:rPr>
      </w:pPr>
      <w:r w:rsidRPr="00C332A6">
        <w:rPr>
          <w:rFonts w:ascii="Cambria" w:hAnsi="Cambria"/>
          <w:b/>
        </w:rPr>
        <w:t>Record K</w:t>
      </w:r>
      <w:r w:rsidR="008B1FC3" w:rsidRPr="00C332A6">
        <w:rPr>
          <w:rFonts w:ascii="Cambria" w:hAnsi="Cambria"/>
          <w:b/>
        </w:rPr>
        <w:t xml:space="preserve">eeping </w:t>
      </w:r>
    </w:p>
    <w:p w14:paraId="3D23344C" w14:textId="7627FF65" w:rsidR="00A6112B" w:rsidRPr="00C332A6" w:rsidRDefault="00A6112B" w:rsidP="008B1FC3">
      <w:pPr>
        <w:jc w:val="both"/>
        <w:rPr>
          <w:rFonts w:ascii="Cambria" w:hAnsi="Cambria"/>
        </w:rPr>
      </w:pPr>
      <w:r w:rsidRPr="00C332A6">
        <w:rPr>
          <w:rFonts w:ascii="Cambria" w:hAnsi="Cambria"/>
        </w:rPr>
        <w:t>According</w:t>
      </w:r>
      <w:r w:rsidR="006144AD" w:rsidRPr="00C332A6">
        <w:rPr>
          <w:rFonts w:ascii="Cambria" w:hAnsi="Cambria"/>
        </w:rPr>
        <w:t xml:space="preserve"> with </w:t>
      </w:r>
      <w:r w:rsidR="00E968D0" w:rsidRPr="00C332A6">
        <w:rPr>
          <w:rFonts w:ascii="Cambria" w:hAnsi="Cambria"/>
        </w:rPr>
        <w:t>FSA</w:t>
      </w:r>
      <w:r w:rsidRPr="00C332A6">
        <w:rPr>
          <w:rFonts w:ascii="Cambria" w:hAnsi="Cambria"/>
        </w:rPr>
        <w:t xml:space="preserve"> requirements</w:t>
      </w:r>
      <w:r w:rsidR="006144AD" w:rsidRPr="00C332A6">
        <w:rPr>
          <w:rFonts w:ascii="Cambria" w:hAnsi="Cambria"/>
        </w:rPr>
        <w:t>, t</w:t>
      </w:r>
      <w:r w:rsidR="008B1FC3" w:rsidRPr="00C332A6">
        <w:rPr>
          <w:rFonts w:ascii="Cambria" w:hAnsi="Cambria"/>
        </w:rPr>
        <w:t xml:space="preserve">he Company </w:t>
      </w:r>
      <w:r w:rsidR="00546F75" w:rsidRPr="00C332A6">
        <w:rPr>
          <w:rFonts w:ascii="Cambria" w:hAnsi="Cambria"/>
        </w:rPr>
        <w:t>must</w:t>
      </w:r>
      <w:r w:rsidRPr="00C332A6">
        <w:rPr>
          <w:rFonts w:ascii="Cambria" w:hAnsi="Cambria"/>
        </w:rPr>
        <w:t xml:space="preserve"> maintain records, which are constantly monitored and updated, related to the investment services and ancillary services that have been carried out by the Company or on its behalf and which carry a risk of conflict of interest. </w:t>
      </w:r>
    </w:p>
    <w:p w14:paraId="7DA8ED6F" w14:textId="2CF8AC91" w:rsidR="006144AD" w:rsidRPr="00B40B37" w:rsidRDefault="006144AD" w:rsidP="008B1FC3">
      <w:pPr>
        <w:jc w:val="both"/>
        <w:rPr>
          <w:rFonts w:ascii="Cambria" w:hAnsi="Cambria"/>
        </w:rPr>
      </w:pPr>
      <w:r w:rsidRPr="00C332A6">
        <w:rPr>
          <w:rFonts w:ascii="Cambria" w:hAnsi="Cambria"/>
        </w:rPr>
        <w:t>Any conflict of interest</w:t>
      </w:r>
      <w:r w:rsidR="00A6112B" w:rsidRPr="00C332A6">
        <w:rPr>
          <w:rFonts w:ascii="Cambria" w:hAnsi="Cambria"/>
        </w:rPr>
        <w:t xml:space="preserve"> that shall arise must</w:t>
      </w:r>
      <w:r w:rsidRPr="00C332A6">
        <w:rPr>
          <w:rFonts w:ascii="Cambria" w:hAnsi="Cambria"/>
        </w:rPr>
        <w:t xml:space="preserve"> be reported to the Company’s CEO and Compliance Officer, who </w:t>
      </w:r>
      <w:r w:rsidR="00546F75">
        <w:rPr>
          <w:rFonts w:ascii="Cambria" w:hAnsi="Cambria"/>
        </w:rPr>
        <w:t>must keep</w:t>
      </w:r>
      <w:r w:rsidRPr="00C332A6">
        <w:rPr>
          <w:rFonts w:ascii="Cambria" w:hAnsi="Cambria"/>
        </w:rPr>
        <w:t xml:space="preserve"> records of conflicts of interest.</w:t>
      </w:r>
    </w:p>
    <w:sectPr w:rsidR="006144AD" w:rsidRPr="00B40B37" w:rsidSect="005443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2693"/>
    <w:multiLevelType w:val="hybridMultilevel"/>
    <w:tmpl w:val="41D01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70FFD"/>
    <w:multiLevelType w:val="hybridMultilevel"/>
    <w:tmpl w:val="FB5A5F16"/>
    <w:lvl w:ilvl="0" w:tplc="316A287E">
      <w:start w:val="1"/>
      <w:numFmt w:val="lowerLetter"/>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2981142"/>
    <w:multiLevelType w:val="hybridMultilevel"/>
    <w:tmpl w:val="9F480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F2F3A"/>
    <w:multiLevelType w:val="hybridMultilevel"/>
    <w:tmpl w:val="18363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F51D2"/>
    <w:multiLevelType w:val="hybridMultilevel"/>
    <w:tmpl w:val="5C1C33C0"/>
    <w:lvl w:ilvl="0" w:tplc="04080017">
      <w:start w:val="1"/>
      <w:numFmt w:val="lowerLetter"/>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 w15:restartNumberingAfterBreak="0">
    <w:nsid w:val="18967999"/>
    <w:multiLevelType w:val="hybridMultilevel"/>
    <w:tmpl w:val="4B1840FA"/>
    <w:lvl w:ilvl="0" w:tplc="D812BADC">
      <w:start w:val="1"/>
      <w:numFmt w:val="decimal"/>
      <w:lvlText w:val="3.%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8E82DD5"/>
    <w:multiLevelType w:val="hybridMultilevel"/>
    <w:tmpl w:val="17BCD0FE"/>
    <w:lvl w:ilvl="0" w:tplc="0409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97B2E9E"/>
    <w:multiLevelType w:val="hybridMultilevel"/>
    <w:tmpl w:val="62F48A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A171BDC"/>
    <w:multiLevelType w:val="hybridMultilevel"/>
    <w:tmpl w:val="BB82F76A"/>
    <w:lvl w:ilvl="0" w:tplc="A6105CE8">
      <w:start w:val="1"/>
      <w:numFmt w:val="bullet"/>
      <w:lvlText w:val=""/>
      <w:lvlJc w:val="left"/>
      <w:pPr>
        <w:tabs>
          <w:tab w:val="num" w:pos="360"/>
        </w:tabs>
        <w:ind w:left="360" w:hanging="360"/>
      </w:pPr>
      <w:rPr>
        <w:rFonts w:ascii="Symbol" w:hAnsi="Symbol" w:hint="default"/>
        <w:b w:val="0"/>
        <w:sz w:val="22"/>
        <w:szCs w:val="22"/>
      </w:rPr>
    </w:lvl>
    <w:lvl w:ilvl="1" w:tplc="7AE8A942">
      <w:start w:val="1"/>
      <w:numFmt w:val="lowerRoman"/>
      <w:lvlText w:val="%2."/>
      <w:lvlJc w:val="left"/>
      <w:pPr>
        <w:tabs>
          <w:tab w:val="num" w:pos="1440"/>
        </w:tabs>
        <w:ind w:left="1440" w:hanging="360"/>
      </w:pPr>
      <w:rPr>
        <w:rFonts w:hint="default"/>
        <w:b w:val="0"/>
        <w:sz w:val="22"/>
        <w:szCs w:val="22"/>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B5020"/>
    <w:multiLevelType w:val="hybridMultilevel"/>
    <w:tmpl w:val="C1348616"/>
    <w:lvl w:ilvl="0" w:tplc="465227C2">
      <w:start w:val="1"/>
      <w:numFmt w:val="lowerLetter"/>
      <w:lvlText w:val="%1."/>
      <w:lvlJc w:val="left"/>
      <w:pPr>
        <w:ind w:left="360" w:hanging="360"/>
      </w:pPr>
      <w:rPr>
        <w:i w:val="0"/>
      </w:rPr>
    </w:lvl>
    <w:lvl w:ilvl="1" w:tplc="6E4E3D9A">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26000AF6"/>
    <w:multiLevelType w:val="hybridMultilevel"/>
    <w:tmpl w:val="76063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CB6B84"/>
    <w:multiLevelType w:val="hybridMultilevel"/>
    <w:tmpl w:val="D90E7DFE"/>
    <w:lvl w:ilvl="0" w:tplc="A6105CE8">
      <w:start w:val="1"/>
      <w:numFmt w:val="bullet"/>
      <w:lvlText w:val=""/>
      <w:lvlJc w:val="left"/>
      <w:pPr>
        <w:tabs>
          <w:tab w:val="num" w:pos="420"/>
        </w:tabs>
        <w:ind w:left="420" w:hanging="360"/>
      </w:pPr>
      <w:rPr>
        <w:rFonts w:ascii="Symbol" w:hAnsi="Symbol" w:hint="default"/>
        <w:b w:val="0"/>
        <w:sz w:val="22"/>
        <w:szCs w:val="22"/>
      </w:rPr>
    </w:lvl>
    <w:lvl w:ilvl="1" w:tplc="A6105CE8">
      <w:start w:val="1"/>
      <w:numFmt w:val="bullet"/>
      <w:lvlText w:val=""/>
      <w:lvlJc w:val="left"/>
      <w:pPr>
        <w:tabs>
          <w:tab w:val="num" w:pos="1500"/>
        </w:tabs>
        <w:ind w:left="1500" w:hanging="360"/>
      </w:pPr>
      <w:rPr>
        <w:rFonts w:ascii="Symbol" w:hAnsi="Symbol" w:hint="default"/>
        <w:b w:val="0"/>
        <w:sz w:val="22"/>
        <w:szCs w:val="22"/>
      </w:r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12" w15:restartNumberingAfterBreak="0">
    <w:nsid w:val="4A531BF9"/>
    <w:multiLevelType w:val="hybridMultilevel"/>
    <w:tmpl w:val="6576E7FA"/>
    <w:lvl w:ilvl="0" w:tplc="316A287E">
      <w:start w:val="1"/>
      <w:numFmt w:val="lowerLetter"/>
      <w:lvlText w:val="%1."/>
      <w:lvlJc w:val="left"/>
      <w:pPr>
        <w:tabs>
          <w:tab w:val="num" w:pos="720"/>
        </w:tabs>
        <w:ind w:left="720" w:hanging="360"/>
      </w:pPr>
      <w:rPr>
        <w:rFonts w:hint="default"/>
      </w:rPr>
    </w:lvl>
    <w:lvl w:ilvl="1" w:tplc="0408000F">
      <w:start w:val="1"/>
      <w:numFmt w:val="decimal"/>
      <w:lvlText w:val="%2."/>
      <w:lvlJc w:val="left"/>
      <w:pPr>
        <w:tabs>
          <w:tab w:val="num" w:pos="1800"/>
        </w:tabs>
        <w:ind w:left="1800" w:hanging="360"/>
      </w:pPr>
      <w:rPr>
        <w:rFonts w:hint="default"/>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3" w15:restartNumberingAfterBreak="0">
    <w:nsid w:val="4CC85956"/>
    <w:multiLevelType w:val="hybridMultilevel"/>
    <w:tmpl w:val="FEF6B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0449E8"/>
    <w:multiLevelType w:val="hybridMultilevel"/>
    <w:tmpl w:val="21F2A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8C2F64"/>
    <w:multiLevelType w:val="hybridMultilevel"/>
    <w:tmpl w:val="6F50F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7D12FE"/>
    <w:multiLevelType w:val="hybridMultilevel"/>
    <w:tmpl w:val="0CD23BE6"/>
    <w:lvl w:ilvl="0" w:tplc="31AE2A12">
      <w:start w:val="1"/>
      <w:numFmt w:val="bullet"/>
      <w:lvlText w:val=""/>
      <w:lvlJc w:val="left"/>
      <w:pPr>
        <w:tabs>
          <w:tab w:val="num" w:pos="4560"/>
        </w:tabs>
        <w:ind w:left="4560" w:hanging="360"/>
      </w:pPr>
      <w:rPr>
        <w:rFonts w:ascii="Symbol" w:hAnsi="Symbol" w:hint="default"/>
        <w:b w:val="0"/>
        <w:i w:val="0"/>
        <w:sz w:val="22"/>
        <w:szCs w:val="22"/>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E8678F9"/>
    <w:multiLevelType w:val="hybridMultilevel"/>
    <w:tmpl w:val="57863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E23A02"/>
    <w:multiLevelType w:val="hybridMultilevel"/>
    <w:tmpl w:val="D13A20FC"/>
    <w:lvl w:ilvl="0" w:tplc="7AE8A942">
      <w:start w:val="1"/>
      <w:numFmt w:val="lowerRoman"/>
      <w:lvlText w:val="%1."/>
      <w:lvlJc w:val="left"/>
      <w:pPr>
        <w:tabs>
          <w:tab w:val="num" w:pos="720"/>
        </w:tabs>
        <w:ind w:left="72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62070526"/>
    <w:multiLevelType w:val="hybridMultilevel"/>
    <w:tmpl w:val="4D680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4E77F1"/>
    <w:multiLevelType w:val="hybridMultilevel"/>
    <w:tmpl w:val="40DC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03B9F"/>
    <w:multiLevelType w:val="hybridMultilevel"/>
    <w:tmpl w:val="F8DA7602"/>
    <w:lvl w:ilvl="0" w:tplc="7AE8A942">
      <w:start w:val="1"/>
      <w:numFmt w:val="lowerRoman"/>
      <w:lvlText w:val="%1."/>
      <w:lvlJc w:val="left"/>
      <w:pPr>
        <w:tabs>
          <w:tab w:val="num" w:pos="720"/>
        </w:tabs>
        <w:ind w:left="720" w:hanging="360"/>
      </w:pPr>
      <w:rPr>
        <w:rFonts w:hint="default"/>
        <w:b w:val="0"/>
        <w:sz w:val="22"/>
        <w:szCs w:val="22"/>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0C61C22"/>
    <w:multiLevelType w:val="hybridMultilevel"/>
    <w:tmpl w:val="078282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701F2B"/>
    <w:multiLevelType w:val="hybridMultilevel"/>
    <w:tmpl w:val="E6B8E31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765038AC"/>
    <w:multiLevelType w:val="hybridMultilevel"/>
    <w:tmpl w:val="6548F48C"/>
    <w:lvl w:ilvl="0" w:tplc="7AE8A942">
      <w:start w:val="1"/>
      <w:numFmt w:val="lowerRoman"/>
      <w:lvlText w:val="%1."/>
      <w:lvlJc w:val="left"/>
      <w:pPr>
        <w:tabs>
          <w:tab w:val="num" w:pos="420"/>
        </w:tabs>
        <w:ind w:left="420" w:hanging="360"/>
      </w:pPr>
      <w:rPr>
        <w:rFonts w:hint="default"/>
      </w:rPr>
    </w:lvl>
    <w:lvl w:ilvl="1" w:tplc="8CC014D8">
      <w:start w:val="2"/>
      <w:numFmt w:val="lowerLetter"/>
      <w:lvlText w:val="%2."/>
      <w:lvlJc w:val="left"/>
      <w:pPr>
        <w:tabs>
          <w:tab w:val="num" w:pos="1500"/>
        </w:tabs>
        <w:ind w:left="1500" w:hanging="360"/>
      </w:pPr>
      <w:rPr>
        <w:rFonts w:hint="default"/>
      </w:rPr>
    </w:lvl>
    <w:lvl w:ilvl="2" w:tplc="164CC6F0">
      <w:start w:val="6"/>
      <w:numFmt w:val="upperLetter"/>
      <w:lvlText w:val="%3."/>
      <w:lvlJc w:val="left"/>
      <w:pPr>
        <w:tabs>
          <w:tab w:val="num" w:pos="2400"/>
        </w:tabs>
        <w:ind w:left="2400" w:hanging="360"/>
      </w:pPr>
      <w:rPr>
        <w:rFonts w:hint="default"/>
        <w:b/>
        <w:i w:val="0"/>
        <w:sz w:val="22"/>
        <w:szCs w:val="22"/>
      </w:rPr>
    </w:lvl>
    <w:lvl w:ilvl="3" w:tplc="29308D64">
      <w:start w:val="1"/>
      <w:numFmt w:val="lowerRoman"/>
      <w:lvlText w:val="(%4)"/>
      <w:lvlJc w:val="left"/>
      <w:pPr>
        <w:ind w:left="3300" w:hanging="720"/>
      </w:pPr>
      <w:rPr>
        <w:rFonts w:hint="default"/>
      </w:r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25" w15:restartNumberingAfterBreak="0">
    <w:nsid w:val="7AA60715"/>
    <w:multiLevelType w:val="hybridMultilevel"/>
    <w:tmpl w:val="49989CC2"/>
    <w:lvl w:ilvl="0" w:tplc="6ECE5EF2">
      <w:start w:val="1"/>
      <w:numFmt w:val="lowerLetter"/>
      <w:lvlText w:val="%1."/>
      <w:lvlJc w:val="left"/>
      <w:pPr>
        <w:tabs>
          <w:tab w:val="num" w:pos="360"/>
        </w:tabs>
        <w:ind w:left="360" w:hanging="360"/>
      </w:pPr>
      <w:rPr>
        <w:rFonts w:hint="default"/>
        <w:i/>
      </w:rPr>
    </w:lvl>
    <w:lvl w:ilvl="1" w:tplc="A6105CE8">
      <w:start w:val="1"/>
      <w:numFmt w:val="bullet"/>
      <w:lvlText w:val=""/>
      <w:lvlJc w:val="left"/>
      <w:pPr>
        <w:tabs>
          <w:tab w:val="num" w:pos="1440"/>
        </w:tabs>
        <w:ind w:left="1440" w:hanging="360"/>
      </w:pPr>
      <w:rPr>
        <w:rFonts w:ascii="Symbol" w:hAnsi="Symbol" w:hint="default"/>
        <w:b w:val="0"/>
        <w:sz w:val="22"/>
        <w:szCs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24"/>
  </w:num>
  <w:num w:numId="3">
    <w:abstractNumId w:val="25"/>
  </w:num>
  <w:num w:numId="4">
    <w:abstractNumId w:val="11"/>
  </w:num>
  <w:num w:numId="5">
    <w:abstractNumId w:val="8"/>
  </w:num>
  <w:num w:numId="6">
    <w:abstractNumId w:val="21"/>
  </w:num>
  <w:num w:numId="7">
    <w:abstractNumId w:val="18"/>
  </w:num>
  <w:num w:numId="8">
    <w:abstractNumId w:val="22"/>
  </w:num>
  <w:num w:numId="9">
    <w:abstractNumId w:val="6"/>
  </w:num>
  <w:num w:numId="10">
    <w:abstractNumId w:val="9"/>
  </w:num>
  <w:num w:numId="11">
    <w:abstractNumId w:val="5"/>
  </w:num>
  <w:num w:numId="12">
    <w:abstractNumId w:val="2"/>
  </w:num>
  <w:num w:numId="13">
    <w:abstractNumId w:val="12"/>
  </w:num>
  <w:num w:numId="14">
    <w:abstractNumId w:val="1"/>
  </w:num>
  <w:num w:numId="15">
    <w:abstractNumId w:val="16"/>
  </w:num>
  <w:num w:numId="16">
    <w:abstractNumId w:val="4"/>
  </w:num>
  <w:num w:numId="17">
    <w:abstractNumId w:val="17"/>
  </w:num>
  <w:num w:numId="18">
    <w:abstractNumId w:val="19"/>
  </w:num>
  <w:num w:numId="19">
    <w:abstractNumId w:val="20"/>
  </w:num>
  <w:num w:numId="20">
    <w:abstractNumId w:val="10"/>
  </w:num>
  <w:num w:numId="21">
    <w:abstractNumId w:val="14"/>
  </w:num>
  <w:num w:numId="22">
    <w:abstractNumId w:val="3"/>
  </w:num>
  <w:num w:numId="23">
    <w:abstractNumId w:val="15"/>
  </w:num>
  <w:num w:numId="24">
    <w:abstractNumId w:val="23"/>
  </w:num>
  <w:num w:numId="25">
    <w:abstractNumId w:val="1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C3"/>
    <w:rsid w:val="00016E6B"/>
    <w:rsid w:val="0005417C"/>
    <w:rsid w:val="000701D7"/>
    <w:rsid w:val="000A4C82"/>
    <w:rsid w:val="00121FF2"/>
    <w:rsid w:val="001A698C"/>
    <w:rsid w:val="001C5322"/>
    <w:rsid w:val="001D19A1"/>
    <w:rsid w:val="001D26FD"/>
    <w:rsid w:val="002F31F6"/>
    <w:rsid w:val="002F671D"/>
    <w:rsid w:val="00337931"/>
    <w:rsid w:val="003C32AD"/>
    <w:rsid w:val="003D734D"/>
    <w:rsid w:val="003E026A"/>
    <w:rsid w:val="00410CDB"/>
    <w:rsid w:val="00444D79"/>
    <w:rsid w:val="00447769"/>
    <w:rsid w:val="00473DB7"/>
    <w:rsid w:val="0047507B"/>
    <w:rsid w:val="00480950"/>
    <w:rsid w:val="004A7D68"/>
    <w:rsid w:val="005077FE"/>
    <w:rsid w:val="00544307"/>
    <w:rsid w:val="00546F75"/>
    <w:rsid w:val="00593052"/>
    <w:rsid w:val="005B79A6"/>
    <w:rsid w:val="005C2D0F"/>
    <w:rsid w:val="005D0583"/>
    <w:rsid w:val="005E561C"/>
    <w:rsid w:val="00607779"/>
    <w:rsid w:val="006106EC"/>
    <w:rsid w:val="006144AD"/>
    <w:rsid w:val="00623530"/>
    <w:rsid w:val="00665E31"/>
    <w:rsid w:val="006848B0"/>
    <w:rsid w:val="00695D1C"/>
    <w:rsid w:val="007024F7"/>
    <w:rsid w:val="00710013"/>
    <w:rsid w:val="00757B58"/>
    <w:rsid w:val="00767F27"/>
    <w:rsid w:val="007A0832"/>
    <w:rsid w:val="007D0192"/>
    <w:rsid w:val="007E2CC2"/>
    <w:rsid w:val="007F717D"/>
    <w:rsid w:val="00816719"/>
    <w:rsid w:val="00816D7E"/>
    <w:rsid w:val="00870EF5"/>
    <w:rsid w:val="00870F87"/>
    <w:rsid w:val="008B1FC3"/>
    <w:rsid w:val="008B5B00"/>
    <w:rsid w:val="008D7748"/>
    <w:rsid w:val="00925F9F"/>
    <w:rsid w:val="0093685B"/>
    <w:rsid w:val="0094178C"/>
    <w:rsid w:val="00944DED"/>
    <w:rsid w:val="009600EB"/>
    <w:rsid w:val="00993B09"/>
    <w:rsid w:val="009A15DE"/>
    <w:rsid w:val="009C1098"/>
    <w:rsid w:val="009E685A"/>
    <w:rsid w:val="00A4190A"/>
    <w:rsid w:val="00A50A20"/>
    <w:rsid w:val="00A605CB"/>
    <w:rsid w:val="00A6112B"/>
    <w:rsid w:val="00A67E88"/>
    <w:rsid w:val="00AC317C"/>
    <w:rsid w:val="00AF6C55"/>
    <w:rsid w:val="00B01593"/>
    <w:rsid w:val="00B40B37"/>
    <w:rsid w:val="00B47D75"/>
    <w:rsid w:val="00B5586D"/>
    <w:rsid w:val="00B56088"/>
    <w:rsid w:val="00B81B19"/>
    <w:rsid w:val="00BA4C79"/>
    <w:rsid w:val="00BA55BA"/>
    <w:rsid w:val="00BB7661"/>
    <w:rsid w:val="00BE13BB"/>
    <w:rsid w:val="00C15B36"/>
    <w:rsid w:val="00C17846"/>
    <w:rsid w:val="00C20517"/>
    <w:rsid w:val="00C332A6"/>
    <w:rsid w:val="00CC158D"/>
    <w:rsid w:val="00CC4A51"/>
    <w:rsid w:val="00CD7D54"/>
    <w:rsid w:val="00CF385C"/>
    <w:rsid w:val="00CF7F8A"/>
    <w:rsid w:val="00D27340"/>
    <w:rsid w:val="00D32688"/>
    <w:rsid w:val="00D5714D"/>
    <w:rsid w:val="00D70BC6"/>
    <w:rsid w:val="00DE7312"/>
    <w:rsid w:val="00E04D7A"/>
    <w:rsid w:val="00E35C6D"/>
    <w:rsid w:val="00E572D4"/>
    <w:rsid w:val="00E701C9"/>
    <w:rsid w:val="00E968D0"/>
    <w:rsid w:val="00EC1B0C"/>
    <w:rsid w:val="00F1024B"/>
    <w:rsid w:val="00F26243"/>
    <w:rsid w:val="00F356F1"/>
    <w:rsid w:val="00F5580E"/>
    <w:rsid w:val="00F83318"/>
    <w:rsid w:val="00FC1F35"/>
    <w:rsid w:val="00FD0999"/>
    <w:rsid w:val="00FD46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F4F2"/>
  <w15:docId w15:val="{1907C9BC-CDBC-41E0-9613-90D9E899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07"/>
  </w:style>
  <w:style w:type="paragraph" w:styleId="Heading2">
    <w:name w:val="heading 2"/>
    <w:basedOn w:val="Normal"/>
    <w:next w:val="Normal"/>
    <w:link w:val="Heading2Char"/>
    <w:uiPriority w:val="9"/>
    <w:qFormat/>
    <w:rsid w:val="009E685A"/>
    <w:pPr>
      <w:keepNext/>
      <w:spacing w:before="240" w:after="60" w:line="240" w:lineRule="auto"/>
      <w:outlineLvl w:val="1"/>
    </w:pPr>
    <w:rPr>
      <w:rFonts w:ascii="Arial" w:eastAsia="MS Mincho" w:hAnsi="Arial" w:cs="Arial"/>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1FC3"/>
    <w:rPr>
      <w:sz w:val="16"/>
      <w:szCs w:val="16"/>
    </w:rPr>
  </w:style>
  <w:style w:type="paragraph" w:styleId="CommentText">
    <w:name w:val="annotation text"/>
    <w:basedOn w:val="Normal"/>
    <w:link w:val="CommentTextChar"/>
    <w:uiPriority w:val="99"/>
    <w:semiHidden/>
    <w:unhideWhenUsed/>
    <w:rsid w:val="008B1FC3"/>
    <w:pPr>
      <w:spacing w:line="240" w:lineRule="auto"/>
    </w:pPr>
    <w:rPr>
      <w:sz w:val="20"/>
      <w:szCs w:val="20"/>
    </w:rPr>
  </w:style>
  <w:style w:type="character" w:customStyle="1" w:styleId="CommentTextChar">
    <w:name w:val="Comment Text Char"/>
    <w:basedOn w:val="DefaultParagraphFont"/>
    <w:link w:val="CommentText"/>
    <w:uiPriority w:val="99"/>
    <w:semiHidden/>
    <w:rsid w:val="008B1FC3"/>
    <w:rPr>
      <w:sz w:val="20"/>
      <w:szCs w:val="20"/>
    </w:rPr>
  </w:style>
  <w:style w:type="paragraph" w:styleId="CommentSubject">
    <w:name w:val="annotation subject"/>
    <w:basedOn w:val="CommentText"/>
    <w:next w:val="CommentText"/>
    <w:link w:val="CommentSubjectChar"/>
    <w:uiPriority w:val="99"/>
    <w:semiHidden/>
    <w:unhideWhenUsed/>
    <w:rsid w:val="008B1FC3"/>
    <w:rPr>
      <w:b/>
      <w:bCs/>
    </w:rPr>
  </w:style>
  <w:style w:type="character" w:customStyle="1" w:styleId="CommentSubjectChar">
    <w:name w:val="Comment Subject Char"/>
    <w:basedOn w:val="CommentTextChar"/>
    <w:link w:val="CommentSubject"/>
    <w:uiPriority w:val="99"/>
    <w:semiHidden/>
    <w:rsid w:val="008B1FC3"/>
    <w:rPr>
      <w:b/>
      <w:bCs/>
      <w:sz w:val="20"/>
      <w:szCs w:val="20"/>
    </w:rPr>
  </w:style>
  <w:style w:type="paragraph" w:styleId="BalloonText">
    <w:name w:val="Balloon Text"/>
    <w:basedOn w:val="Normal"/>
    <w:link w:val="BalloonTextChar"/>
    <w:uiPriority w:val="99"/>
    <w:semiHidden/>
    <w:unhideWhenUsed/>
    <w:rsid w:val="008B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FC3"/>
    <w:rPr>
      <w:rFonts w:ascii="Tahoma" w:hAnsi="Tahoma" w:cs="Tahoma"/>
      <w:sz w:val="16"/>
      <w:szCs w:val="16"/>
    </w:rPr>
  </w:style>
  <w:style w:type="paragraph" w:styleId="ListParagraph">
    <w:name w:val="List Paragraph"/>
    <w:basedOn w:val="Normal"/>
    <w:uiPriority w:val="34"/>
    <w:qFormat/>
    <w:rsid w:val="009E685A"/>
    <w:pPr>
      <w:ind w:left="720"/>
      <w:contextualSpacing/>
    </w:pPr>
    <w:rPr>
      <w:rFonts w:ascii="Calibri" w:eastAsia="Calibri" w:hAnsi="Calibri" w:cs="Arial"/>
    </w:rPr>
  </w:style>
  <w:style w:type="character" w:customStyle="1" w:styleId="Heading2Char">
    <w:name w:val="Heading 2 Char"/>
    <w:basedOn w:val="DefaultParagraphFont"/>
    <w:link w:val="Heading2"/>
    <w:uiPriority w:val="9"/>
    <w:rsid w:val="009E685A"/>
    <w:rPr>
      <w:rFonts w:ascii="Arial" w:eastAsia="MS Mincho" w:hAnsi="Arial" w:cs="Arial"/>
      <w:b/>
      <w:bCs/>
      <w:i/>
      <w:iCs/>
      <w:sz w:val="28"/>
      <w:szCs w:val="28"/>
      <w:lang w:val="en-GB" w:eastAsia="en-GB"/>
    </w:rPr>
  </w:style>
  <w:style w:type="character" w:styleId="Hyperlink">
    <w:name w:val="Hyperlink"/>
    <w:basedOn w:val="DefaultParagraphFont"/>
    <w:uiPriority w:val="99"/>
    <w:rsid w:val="009600EB"/>
    <w:rPr>
      <w:color w:val="0000FF" w:themeColor="hyperlink"/>
      <w:u w:val="single"/>
    </w:rPr>
  </w:style>
  <w:style w:type="character" w:styleId="FollowedHyperlink">
    <w:name w:val="FollowedHyperlink"/>
    <w:basedOn w:val="DefaultParagraphFont"/>
    <w:uiPriority w:val="99"/>
    <w:semiHidden/>
    <w:unhideWhenUsed/>
    <w:rsid w:val="00F83318"/>
    <w:rPr>
      <w:color w:val="800080" w:themeColor="followedHyperlink"/>
      <w:u w:val="single"/>
    </w:rPr>
  </w:style>
  <w:style w:type="character" w:customStyle="1" w:styleId="UnresolvedMention1">
    <w:name w:val="Unresolved Mention1"/>
    <w:basedOn w:val="DefaultParagraphFont"/>
    <w:uiPriority w:val="99"/>
    <w:semiHidden/>
    <w:unhideWhenUsed/>
    <w:rsid w:val="007F7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69898">
      <w:bodyDiv w:val="1"/>
      <w:marLeft w:val="0"/>
      <w:marRight w:val="0"/>
      <w:marTop w:val="0"/>
      <w:marBottom w:val="0"/>
      <w:divBdr>
        <w:top w:val="none" w:sz="0" w:space="0" w:color="auto"/>
        <w:left w:val="none" w:sz="0" w:space="0" w:color="auto"/>
        <w:bottom w:val="none" w:sz="0" w:space="0" w:color="auto"/>
        <w:right w:val="none" w:sz="0" w:space="0" w:color="auto"/>
      </w:divBdr>
      <w:divsChild>
        <w:div w:id="1857110555">
          <w:marLeft w:val="0"/>
          <w:marRight w:val="0"/>
          <w:marTop w:val="0"/>
          <w:marBottom w:val="0"/>
          <w:divBdr>
            <w:top w:val="none" w:sz="0" w:space="0" w:color="auto"/>
            <w:left w:val="none" w:sz="0" w:space="0" w:color="auto"/>
            <w:bottom w:val="none" w:sz="0" w:space="0" w:color="auto"/>
            <w:right w:val="none" w:sz="0" w:space="0" w:color="auto"/>
          </w:divBdr>
        </w:div>
        <w:div w:id="441190881">
          <w:marLeft w:val="0"/>
          <w:marRight w:val="0"/>
          <w:marTop w:val="0"/>
          <w:marBottom w:val="0"/>
          <w:divBdr>
            <w:top w:val="none" w:sz="0" w:space="0" w:color="auto"/>
            <w:left w:val="none" w:sz="0" w:space="0" w:color="auto"/>
            <w:bottom w:val="none" w:sz="0" w:space="0" w:color="auto"/>
            <w:right w:val="none" w:sz="0" w:space="0" w:color="auto"/>
          </w:divBdr>
          <w:divsChild>
            <w:div w:id="416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clicktrad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22ae5c-0431-40cb-915f-21fb084c6846">KWGS-1164534372-10785</_dlc_DocId>
    <_dlc_DocIdUrl xmlns="ee22ae5c-0431-40cb-915f-21fb084c6846">
      <Url>https://tvpsystems.sharepoint.com/sites/storage/_layouts/15/DocIdRedir.aspx?ID=KWGS-1164534372-10785</Url>
      <Description>KWGS-1164534372-10785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15E3CC9CE2D504A92BF4E44285BEE83" ma:contentTypeVersion="14" ma:contentTypeDescription="Create a new document." ma:contentTypeScope="" ma:versionID="b76e5ad2948a9cde0b7aba7d58ec357f">
  <xsd:schema xmlns:xsd="http://www.w3.org/2001/XMLSchema" xmlns:xs="http://www.w3.org/2001/XMLSchema" xmlns:p="http://schemas.microsoft.com/office/2006/metadata/properties" xmlns:ns2="ee22ae5c-0431-40cb-915f-21fb084c6846" xmlns:ns3="e6bd4221-7d14-4071-8de7-b10a1ec115af" targetNamespace="http://schemas.microsoft.com/office/2006/metadata/properties" ma:root="true" ma:fieldsID="3ddd436d2164222fe19c8e2e2de31944" ns2:_="" ns3:_="">
    <xsd:import namespace="ee22ae5c-0431-40cb-915f-21fb084c6846"/>
    <xsd:import namespace="e6bd4221-7d14-4071-8de7-b10a1ec115a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2ae5c-0431-40cb-915f-21fb084c68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d4221-7d14-4071-8de7-b10a1ec115a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8F186-BE23-478A-8135-2F07DCC58AD2}">
  <ds:schemaRefs>
    <ds:schemaRef ds:uri="http://schemas.microsoft.com/office/2006/metadata/properties"/>
    <ds:schemaRef ds:uri="http://schemas.microsoft.com/office/infopath/2007/PartnerControls"/>
    <ds:schemaRef ds:uri="ee22ae5c-0431-40cb-915f-21fb084c6846"/>
  </ds:schemaRefs>
</ds:datastoreItem>
</file>

<file path=customXml/itemProps2.xml><?xml version="1.0" encoding="utf-8"?>
<ds:datastoreItem xmlns:ds="http://schemas.openxmlformats.org/officeDocument/2006/customXml" ds:itemID="{458EF2EE-7F5F-4545-950F-28F777EC0759}">
  <ds:schemaRefs>
    <ds:schemaRef ds:uri="http://schemas.microsoft.com/sharepoint/v3/contenttype/forms"/>
  </ds:schemaRefs>
</ds:datastoreItem>
</file>

<file path=customXml/itemProps3.xml><?xml version="1.0" encoding="utf-8"?>
<ds:datastoreItem xmlns:ds="http://schemas.openxmlformats.org/officeDocument/2006/customXml" ds:itemID="{8C5F9A75-22CA-4E82-A6E8-8C959E81E378}">
  <ds:schemaRefs>
    <ds:schemaRef ds:uri="http://schemas.microsoft.com/sharepoint/events"/>
  </ds:schemaRefs>
</ds:datastoreItem>
</file>

<file path=customXml/itemProps4.xml><?xml version="1.0" encoding="utf-8"?>
<ds:datastoreItem xmlns:ds="http://schemas.openxmlformats.org/officeDocument/2006/customXml" ds:itemID="{EE48B4B7-673F-456E-994A-4FF0F2765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2ae5c-0431-40cb-915f-21fb084c6846"/>
    <ds:schemaRef ds:uri="e6bd4221-7d14-4071-8de7-b10a1ec1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Anastasia.k</dc:creator>
  <cp:lastModifiedBy>Bernard Dominque</cp:lastModifiedBy>
  <cp:revision>32</cp:revision>
  <dcterms:created xsi:type="dcterms:W3CDTF">2018-11-28T15:54:00Z</dcterms:created>
  <dcterms:modified xsi:type="dcterms:W3CDTF">2020-10-20T11:48:00Z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0x010100415E3CC9CE2D504A92BF4E44285BEE83</vt:lpwstr>
  </property>
  <property fmtid="{D5CDD505-2E9C-101B-9397-08002B2CF9AE}" pid="3" name="_dlc_DocIdItemGuid">
    <vt:lpwstr>c41341fe-f23e-4ff0-800f-6ecd4a0da322</vt:lpwstr>
  </property>
</Properties>
</file>